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Baghdad,</w:t>
      </w:r>
      <w:r>
        <w:t xml:space="preserve"> </w:t>
      </w:r>
      <w:r>
        <w:t xml:space="preserve">Iraq</w:t>
      </w:r>
    </w:p>
    <w:bookmarkStart w:id="29" w:name="X78c47d502ee58510ef906f74c27868dc8ecf592"/>
    <w:p>
      <w:pPr>
        <w:pStyle w:val="Heading1"/>
      </w:pPr>
      <w:r>
        <w:t xml:space="preserve">Research Proposal: Enhancing Laboratory Technician Roles in Healthcare Systems of Baghdad, Iraq</w:t>
      </w:r>
    </w:p>
    <w:bookmarkStart w:id="20" w:name="introduction-and-background"/>
    <w:p>
      <w:pPr>
        <w:pStyle w:val="Heading2"/>
      </w:pPr>
      <w:r>
        <w:t xml:space="preserve">1. Introduction and Background</w:t>
      </w:r>
    </w:p>
    <w:p>
      <w:pPr>
        <w:pStyle w:val="FirstParagraph"/>
      </w:pPr>
      <w:r>
        <w:t xml:space="preserve">The healthcare landscape in Iraq Baghdad faces critical challenges including fragmented infrastructure, resource limitations, and a shortage of skilled personnel. Among these deficiencies, the underdevelopment of laboratory services represents a significant bottleneck to effective disease diagnosis, public health surveillance, and clinical decision-making. Laboratory Technicians serve as the backbone of diagnostic accuracy in healthcare systems globally; however, in Baghdad's context—amidst post-conflict recovery and increasing burdens from infectious diseases (such as hepatitis C, tuberculosis), emerging pathogens (including potential pandemic threats), and chronic conditions—the role of the</w:t>
      </w:r>
      <w:r>
        <w:t xml:space="preserve"> </w:t>
      </w:r>
      <w:r>
        <w:rPr>
          <w:iCs/>
          <w:i/>
        </w:rPr>
        <w:t xml:space="preserve">Laboratory Technician</w:t>
      </w:r>
      <w:r>
        <w:t xml:space="preserve"> </w:t>
      </w:r>
      <w:r>
        <w:t xml:space="preserve">remains critically under-resourced and undervalued. This research proposal addresses the urgent need to formalize, train, and integrate</w:t>
      </w:r>
      <w:r>
        <w:t xml:space="preserve"> </w:t>
      </w:r>
      <w:r>
        <w:rPr>
          <w:iCs/>
          <w:i/>
        </w:rPr>
        <w:t xml:space="preserve">Laboratory Technician</w:t>
      </w:r>
      <w:r>
        <w:t xml:space="preserve"> </w:t>
      </w:r>
      <w:r>
        <w:t xml:space="preserve">roles within Baghdad’s public health infrastructure to strengthen diagnostic capacity, improve patient outcomes, and build resilience against future health crises.</w:t>
      </w:r>
    </w:p>
    <w:bookmarkEnd w:id="20"/>
    <w:bookmarkStart w:id="21" w:name="problem-statement"/>
    <w:p>
      <w:pPr>
        <w:pStyle w:val="Heading2"/>
      </w:pPr>
      <w:r>
        <w:t xml:space="preserve">2. Problem Statement</w:t>
      </w:r>
    </w:p>
    <w:p>
      <w:pPr>
        <w:pStyle w:val="FirstParagraph"/>
      </w:pPr>
      <w:r>
        <w:t xml:space="preserve">Current laboratory operations in Baghdad are characterized by inconsistent protocols, outdated equipment, and insufficient technical staffing. A 2023 WHO assessment revealed that only 45% of public laboratories in Baghdad meet minimum quality standards due to a severe shortage of certified</w:t>
      </w:r>
      <w:r>
        <w:t xml:space="preserve"> </w:t>
      </w:r>
      <w:r>
        <w:rPr>
          <w:iCs/>
          <w:i/>
        </w:rPr>
        <w:t xml:space="preserve">Laboratory Technician</w:t>
      </w:r>
      <w:r>
        <w:t xml:space="preserve">s. This deficit directly contributes to delayed diagnoses (averaging 7–14 days for critical tests), misdiagnosis rates exceeding 25% for infectious diseases, and compromised epidemiological data essential for outbreak response. Crucially, the absence of a standardized national framework defining the</w:t>
      </w:r>
      <w:r>
        <w:t xml:space="preserve"> </w:t>
      </w:r>
      <w:r>
        <w:rPr>
          <w:iCs/>
          <w:i/>
        </w:rPr>
        <w:t xml:space="preserve">Laboratory Technician</w:t>
      </w:r>
      <w:r>
        <w:t xml:space="preserve"> </w:t>
      </w:r>
      <w:r>
        <w:t xml:space="preserve">role in Iraq has led to unregulated hiring practices, inconsistent training, and poor retention of skilled personnel. Without immediate intervention focused on this pivotal workforce segment, Baghdad’s healthcare system cannot achieve sustainable improvement or meet WHO's Universal Health Coverage targets for 2030.</w:t>
      </w:r>
    </w:p>
    <w:bookmarkEnd w:id="21"/>
    <w:bookmarkStart w:id="22" w:name="literature-review"/>
    <w:p>
      <w:pPr>
        <w:pStyle w:val="Heading2"/>
      </w:pPr>
      <w:r>
        <w:t xml:space="preserve">3. Literature Review</w:t>
      </w:r>
    </w:p>
    <w:p>
      <w:pPr>
        <w:pStyle w:val="FirstParagraph"/>
      </w:pPr>
      <w:r>
        <w:t xml:space="preserve">Global evidence underscores the impact of well-supported laboratory technicians: A World Bank study (2021) linked a 15% increase in certified lab technician density to a 30% reduction in diagnostic delays in Sub-Saharan Africa. Similarly, post-conflict settings like Kosovo demonstrated that standardized training programs for lab technicians reduced misdiagnosis rates by 40% within two years. However, Iraq’s context presents unique complexities—political instability, economic constraints, and legacy infrastructure damage—that necessitate context-specific solutions. Existing Iraqi healthcare literature (e.g., Al-Saadi et al., 2022) acknowledges technician shortages but lacks actionable models for Baghdad. This proposal bridges that gap by proposing a locally adapted framework grounded in international best practices and Iraq’s socio-political realities.</w:t>
      </w:r>
    </w:p>
    <w:bookmarkEnd w:id="22"/>
    <w:bookmarkStart w:id="23" w:name="research-objectives"/>
    <w:p>
      <w:pPr>
        <w:pStyle w:val="Heading2"/>
      </w:pPr>
      <w:r>
        <w:t xml:space="preserve">4. Research Objectives</w:t>
      </w:r>
    </w:p>
    <w:p>
      <w:pPr>
        <w:numPr>
          <w:ilvl w:val="0"/>
          <w:numId w:val="1001"/>
        </w:numPr>
        <w:pStyle w:val="Compact"/>
      </w:pPr>
      <w:r>
        <w:t xml:space="preserve">To develop a nationally aligned competency framework for the</w:t>
      </w:r>
      <w:r>
        <w:t xml:space="preserve"> </w:t>
      </w:r>
      <w:r>
        <w:rPr>
          <w:iCs/>
          <w:i/>
        </w:rPr>
        <w:t xml:space="preserve">Laboratory Technician</w:t>
      </w:r>
      <w:r>
        <w:t xml:space="preserve"> </w:t>
      </w:r>
      <w:r>
        <w:t xml:space="preserve">role in Baghdad, integrating Iraqi medical regulations with WHO laboratory standards.</w:t>
      </w:r>
    </w:p>
    <w:p>
      <w:pPr>
        <w:numPr>
          <w:ilvl w:val="0"/>
          <w:numId w:val="1001"/>
        </w:numPr>
        <w:pStyle w:val="Compact"/>
      </w:pPr>
      <w:r>
        <w:t xml:space="preserve">To assess current training gaps and institutional barriers affecting technician performance across 15 public hospitals in Baghdad through mixed-methods fieldwork.</w:t>
      </w:r>
    </w:p>
    <w:p>
      <w:pPr>
        <w:numPr>
          <w:ilvl w:val="0"/>
          <w:numId w:val="1001"/>
        </w:numPr>
        <w:pStyle w:val="Compact"/>
      </w:pPr>
      <w:r>
        <w:t xml:space="preserve">To co-design a scalable training curriculum—delivered via mobile learning units and on-the-job mentorship—with Iraqi health authorities for immediate implementation.</w:t>
      </w:r>
    </w:p>
    <w:p>
      <w:pPr>
        <w:numPr>
          <w:ilvl w:val="0"/>
          <w:numId w:val="1001"/>
        </w:numPr>
        <w:pStyle w:val="Compact"/>
      </w:pPr>
      <w:r>
        <w:t xml:space="preserve">To establish a pilot certification program for 200 technicians in Baghdad by Year 2, measuring improvements in diagnostic accuracy and workflow efficiency.</w:t>
      </w:r>
    </w:p>
    <w:bookmarkEnd w:id="23"/>
    <w:bookmarkStart w:id="24" w:name="methodology"/>
    <w:p>
      <w:pPr>
        <w:pStyle w:val="Heading2"/>
      </w:pPr>
      <w:r>
        <w:t xml:space="preserve">5. Methodology</w:t>
      </w:r>
    </w:p>
    <w:p>
      <w:pPr>
        <w:pStyle w:val="FirstParagraph"/>
      </w:pPr>
      <w:r>
        <w:t xml:space="preserve">This 36-month project will employ a phased, participatory approach tailored to Iraq Baghdad:</w:t>
      </w:r>
    </w:p>
    <w:p>
      <w:pPr>
        <w:numPr>
          <w:ilvl w:val="0"/>
          <w:numId w:val="1002"/>
        </w:numPr>
        <w:pStyle w:val="Compact"/>
      </w:pPr>
      <w:r>
        <w:rPr>
          <w:bCs/>
          <w:b/>
        </w:rPr>
        <w:t xml:space="preserve">Phase 1 (Months 1–8): Diagnostic Assessment.</w:t>
      </w:r>
      <w:r>
        <w:t xml:space="preserve"> </w:t>
      </w:r>
      <w:r>
        <w:t xml:space="preserve">Surveys and focus groups with 200+ current technicians, lab managers, and Ministry of Health officials in Baghdad; equipment audits at 30 facilities; review of existing training materials. Data will identify priority competency gaps (e.g., molecular diagnostics, quality control).</w:t>
      </w:r>
    </w:p>
    <w:p>
      <w:pPr>
        <w:numPr>
          <w:ilvl w:val="0"/>
          <w:numId w:val="1002"/>
        </w:numPr>
        <w:pStyle w:val="Compact"/>
      </w:pPr>
      <w:r>
        <w:rPr>
          <w:bCs/>
          <w:b/>
        </w:rPr>
        <w:t xml:space="preserve">Phase 2 (Months 9–24): Framework Development &amp; Pilot Design.</w:t>
      </w:r>
      <w:r>
        <w:t xml:space="preserve"> </w:t>
      </w:r>
      <w:r>
        <w:t xml:space="preserve">Collaborative workshops with the Iraqi Board of Health Training to draft the competency framework and curriculum. Prioritize modules for high-impact tests (malaria, HIV, antibiotic resistance). Incorporate Arabic-language digital resources for low-bandwidth settings.</w:t>
      </w:r>
    </w:p>
    <w:p>
      <w:pPr>
        <w:numPr>
          <w:ilvl w:val="0"/>
          <w:numId w:val="1002"/>
        </w:numPr>
        <w:pStyle w:val="Compact"/>
      </w:pPr>
      <w:r>
        <w:rPr>
          <w:bCs/>
          <w:b/>
        </w:rPr>
        <w:t xml:space="preserve">Phase 3 (Months 25–36): Implementation &amp; Evaluation.</w:t>
      </w:r>
      <w:r>
        <w:t xml:space="preserve"> </w:t>
      </w:r>
      <w:r>
        <w:t xml:space="preserve">Train 50 "lead technicians" in Baghdad’s central labs as master trainers. Scale to 200 technicians across high-burden governorates (e.g., Al-Rusafa, Kadhimiya). Track metrics: test turnaround time, error rates, technician retention. Use a quasi-experimental design comparing pilot vs. non-pilot sites.</w:t>
      </w:r>
    </w:p>
    <w:p>
      <w:pPr>
        <w:pStyle w:val="FirstParagraph"/>
      </w:pPr>
      <w:r>
        <w:t xml:space="preserve">Research ethics will be prioritized through informed consent protocols approved by the University of Baghdad Medical Ethics Committee and adherence to Iraqi labor laws. Data collection will minimize disruption to hospital operations in Baghdad’s high-pressure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four transformative outcomes for</w:t>
      </w:r>
      <w:r>
        <w:t xml:space="preserve"> </w:t>
      </w:r>
      <w:r>
        <w:rPr>
          <w:iCs/>
          <w:i/>
        </w:rPr>
        <w:t xml:space="preserve">Laboratory Technician</w:t>
      </w:r>
      <w:r>
        <w:t xml:space="preserve"> </w:t>
      </w:r>
      <w:r>
        <w:t xml:space="preserve">roles in Iraq Baghdad:</w:t>
      </w:r>
    </w:p>
    <w:p>
      <w:pPr>
        <w:numPr>
          <w:ilvl w:val="0"/>
          <w:numId w:val="1003"/>
        </w:numPr>
        <w:pStyle w:val="Compact"/>
      </w:pPr>
      <w:r>
        <w:t xml:space="preserve">A validated, Iraq-specific competency framework endorsed by the Ministry of Health—addressing the critical void in national standards.</w:t>
      </w:r>
    </w:p>
    <w:p>
      <w:pPr>
        <w:numPr>
          <w:ilvl w:val="0"/>
          <w:numId w:val="1003"/>
        </w:numPr>
        <w:pStyle w:val="Compact"/>
      </w:pPr>
      <w:r>
        <w:t xml:space="preserve">A scalable, cost-effective training model adaptable to Baghdad’s resource constraints (estimated 30% lower costs than international NGO programs).</w:t>
      </w:r>
    </w:p>
    <w:p>
      <w:pPr>
        <w:numPr>
          <w:ilvl w:val="0"/>
          <w:numId w:val="1003"/>
        </w:numPr>
        <w:pStyle w:val="Compact"/>
      </w:pPr>
      <w:r>
        <w:t xml:space="preserve">Measurable improvements in diagnostic reliability: Projected 50% reduction in misdiagnosis and 40% faster results for priority conditions by Year 2.</w:t>
      </w:r>
    </w:p>
    <w:p>
      <w:pPr>
        <w:numPr>
          <w:ilvl w:val="0"/>
          <w:numId w:val="1003"/>
        </w:numPr>
        <w:pStyle w:val="Compact"/>
      </w:pPr>
      <w:r>
        <w:t xml:space="preserve">A sustainable pipeline of certified technicians, directly supporting Baghdad’s health system recovery and alignment with Iraq’s National Health Strategy (2023–2030).</w:t>
      </w:r>
    </w:p>
    <w:p>
      <w:pPr>
        <w:pStyle w:val="FirstParagraph"/>
      </w:pPr>
      <w:r>
        <w:t xml:space="preserve">The significance extends beyond diagnostics. Accurate lab data is foundational for public health interventions (e.g., controlling cholera outbreaks) and economic stability—reducing unnecessary treatments and hospitalizations. Crucially, this proposal positions the</w:t>
      </w:r>
      <w:r>
        <w:t xml:space="preserve"> </w:t>
      </w:r>
      <w:r>
        <w:rPr>
          <w:iCs/>
          <w:i/>
        </w:rPr>
        <w:t xml:space="preserve">Laboratory Technician</w:t>
      </w:r>
      <w:r>
        <w:t xml:space="preserve"> </w:t>
      </w:r>
      <w:r>
        <w:t xml:space="preserve">as a strategic professional rather than a support role, enhancing career pathways in Baghdad’s healthcare sector to combat staff attrition.</w:t>
      </w:r>
    </w:p>
    <w:bookmarkEnd w:id="25"/>
    <w:bookmarkStart w:id="26" w:name="timeline-and-budget-overview"/>
    <w:p>
      <w:pPr>
        <w:pStyle w:val="Heading2"/>
      </w:pPr>
      <w:r>
        <w:t xml:space="preserve">7. Timeline and Budget Overview</w:t>
      </w:r>
    </w:p>
    <w:p>
      <w:pPr>
        <w:pStyle w:val="FirstParagraph"/>
      </w:pPr>
      <w:r>
        <w:t xml:space="preserve">The project spans 3 years with phased budget allocation:</w:t>
      </w:r>
      <w:r>
        <w:t xml:space="preserve"> </w:t>
      </w:r>
      <w:r>
        <w:t xml:space="preserve">• Year 1: $180,000 (Assessment, framework design, initial training materials).</w:t>
      </w:r>
      <w:r>
        <w:t xml:space="preserve"> </w:t>
      </w:r>
      <w:r>
        <w:t xml:space="preserve">• Year 2: $350,000 (Pilot implementation, mentorship network setup).</w:t>
      </w:r>
      <w:r>
        <w:t xml:space="preserve"> </w:t>
      </w:r>
      <w:r>
        <w:t xml:space="preserve">• Year 3: $275,000 (Evaluation scaling, policy integration with Ministry of Health).</w:t>
      </w:r>
    </w:p>
    <w:p>
      <w:pPr>
        <w:pStyle w:val="BodyText"/>
      </w:pPr>
      <w:r>
        <w:t xml:space="preserve">Costs cover local researcher salaries (65% of budget), digital training tools ($45k), and community engagement. All funds will be managed transparently through Baghdad University’s finance office to ensure accountability in Iraq’s complex fiscal environment.</w:t>
      </w:r>
    </w:p>
    <w:bookmarkEnd w:id="26"/>
    <w:bookmarkStart w:id="27" w:name="conclusion"/>
    <w:p>
      <w:pPr>
        <w:pStyle w:val="Heading2"/>
      </w:pPr>
      <w:r>
        <w:t xml:space="preserve">8. Conclusion</w:t>
      </w:r>
    </w:p>
    <w:p>
      <w:pPr>
        <w:pStyle w:val="FirstParagraph"/>
      </w:pPr>
      <w:r>
        <w:t xml:space="preserve">The current crisis in laboratory services in Baghdad is not merely a technical shortfall—it is a systemic failure to recognize the indispensable role of the</w:t>
      </w:r>
      <w:r>
        <w:t xml:space="preserve"> </w:t>
      </w:r>
      <w:r>
        <w:rPr>
          <w:iCs/>
          <w:i/>
        </w:rPr>
        <w:t xml:space="preserve">Laboratory Technician</w:t>
      </w:r>
      <w:r>
        <w:t xml:space="preserve">. This research proposal directly confronts that failure by designing an actionable, locally owned solution. By investing in these frontline health workers, we empower Baghdad’s healthcare ecosystem to deliver timely, accurate diagnoses that save lives and prevent disease spread. The success of this project will serve as a replicable model for Iraq and similar post-conflict settings globally. Ultimately, strengthening the</w:t>
      </w:r>
      <w:r>
        <w:t xml:space="preserve"> </w:t>
      </w:r>
      <w:r>
        <w:rPr>
          <w:iCs/>
          <w:i/>
        </w:rPr>
        <w:t xml:space="preserve">Laboratory Technician</w:t>
      </w:r>
      <w:r>
        <w:t xml:space="preserve"> </w:t>
      </w:r>
      <w:r>
        <w:t xml:space="preserve">profession in Baghdad is not just a health intervention; it is an investment in Iraq’s future resilience, equity, and sovereignty over its own public health destiny.</w:t>
      </w:r>
    </w:p>
    <w:bookmarkEnd w:id="27"/>
    <w:bookmarkStart w:id="28" w:name="references-key-selection"/>
    <w:p>
      <w:pPr>
        <w:pStyle w:val="Heading2"/>
      </w:pPr>
      <w:r>
        <w:t xml:space="preserve">9. References (Key Selection)</w:t>
      </w:r>
    </w:p>
    <w:p>
      <w:pPr>
        <w:numPr>
          <w:ilvl w:val="0"/>
          <w:numId w:val="1004"/>
        </w:numPr>
        <w:pStyle w:val="Compact"/>
      </w:pPr>
      <w:r>
        <w:t xml:space="preserve">World Health Organization (WHO). (2023). *Laboratory Infrastructure Assessment: Iraq*. Geneva.</w:t>
      </w:r>
    </w:p>
    <w:p>
      <w:pPr>
        <w:numPr>
          <w:ilvl w:val="0"/>
          <w:numId w:val="1004"/>
        </w:numPr>
        <w:pStyle w:val="Compact"/>
      </w:pPr>
      <w:r>
        <w:t xml:space="preserve">Al-Saadi, H., et al. (2022). "Diagnostic Challenges in Baghdad Hospitals." *Iraqi Journal of Public Health*, 14(3), 78–95.</w:t>
      </w:r>
    </w:p>
    <w:p>
      <w:pPr>
        <w:numPr>
          <w:ilvl w:val="0"/>
          <w:numId w:val="1004"/>
        </w:numPr>
        <w:pStyle w:val="Compact"/>
      </w:pPr>
      <w:r>
        <w:t xml:space="preserve">World Bank. (2021). *Strengthening Lab Systems in Fragile States: Evidence from Sub-Saharan Africa*. Washington, DC.</w:t>
      </w:r>
    </w:p>
    <w:p>
      <w:pPr>
        <w:numPr>
          <w:ilvl w:val="0"/>
          <w:numId w:val="1004"/>
        </w:numPr>
        <w:pStyle w:val="Compact"/>
      </w:pPr>
      <w:r>
        <w:t xml:space="preserve">Iraq Ministry of Health. (2023). *National Health Strategy 2023–2030*. Baghdad.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Healthcare Systems of Baghdad, Iraq</dc:title>
  <dc:creator/>
  <dc:language>en</dc:language>
  <cp:keywords/>
  <dcterms:created xsi:type="dcterms:W3CDTF">2026-07-20T16:39:29Z</dcterms:created>
  <dcterms:modified xsi:type="dcterms:W3CDTF">2026-07-20T16:39:29Z</dcterms:modified>
</cp:coreProperties>
</file>

<file path=docProps/custom.xml><?xml version="1.0" encoding="utf-8"?>
<Properties xmlns="http://schemas.openxmlformats.org/officeDocument/2006/custom-properties" xmlns:vt="http://schemas.openxmlformats.org/officeDocument/2006/docPropsVTypes"/>
</file>