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Rome,</w:t>
      </w:r>
      <w:r>
        <w:t xml:space="preserve"> </w:t>
      </w:r>
      <w:r>
        <w:t xml:space="preserve">Italy</w:t>
      </w:r>
    </w:p>
    <w:bookmarkStart w:id="29" w:name="X1691c3229c23110d0c4f0baba22da26e6bb9527"/>
    <w:p>
      <w:pPr>
        <w:pStyle w:val="Heading1"/>
      </w:pPr>
      <w:r>
        <w:t xml:space="preserve">Research Proposal: Optimizing the Role of Laboratory Technicians in Clinical Diagnostics for Healthcare Excellence in Italy Rome</w:t>
      </w:r>
    </w:p>
    <w:bookmarkStart w:id="20" w:name="introduction-and-background"/>
    <w:p>
      <w:pPr>
        <w:pStyle w:val="Heading2"/>
      </w:pPr>
      <w:r>
        <w:t xml:space="preserve">1. Introduction and Background</w:t>
      </w:r>
    </w:p>
    <w:p>
      <w:pPr>
        <w:pStyle w:val="FirstParagraph"/>
      </w:pPr>
      <w:r>
        <w:t xml:space="preserve">The healthcare landscape of Italy, particularly in Rome—the nation's capital and a hub for advanced medical research—faces evolving demands for precision diagnostics. As the population ages and chronic diseases rise, clinical laboratories have become critical frontlines in patient care. This Research Proposal addresses a pivotal gap: the underutilization of</w:t>
      </w:r>
      <w:r>
        <w:t xml:space="preserve"> </w:t>
      </w:r>
      <w:r>
        <w:rPr>
          <w:bCs/>
          <w:b/>
        </w:rPr>
        <w:t xml:space="preserve">Laboratory Technician</w:t>
      </w:r>
      <w:r>
        <w:t xml:space="preserve"> </w:t>
      </w:r>
      <w:r>
        <w:t xml:space="preserve">expertise within Italy Rome's healthcare ecosystem. While Laboratory Technicians form the backbone of diagnostic accuracy, their roles remain undervalued compared to international standards, leading to operational inefficiencies and potential diagnostic delays in Rome's 150+ major medical facilities. This study proposes a comprehensive framework to redefine and elevate the</w:t>
      </w:r>
      <w:r>
        <w:t xml:space="preserve"> </w:t>
      </w:r>
      <w:r>
        <w:rPr>
          <w:bCs/>
          <w:b/>
        </w:rPr>
        <w:t xml:space="preserve">Laboratory Technician</w:t>
      </w:r>
      <w:r>
        <w:t xml:space="preserve"> </w:t>
      </w:r>
      <w:r>
        <w:t xml:space="preserve">profession within</w:t>
      </w:r>
      <w:r>
        <w:t xml:space="preserve"> </w:t>
      </w:r>
      <w:r>
        <w:rPr>
          <w:bCs/>
          <w:b/>
        </w:rPr>
        <w:t xml:space="preserve">Italy Rome</w:t>
      </w:r>
      <w:r>
        <w:t xml:space="preserve">, aligning with EU healthcare directives and Italy's National Health Service (SSN) modernization goals.</w:t>
      </w:r>
    </w:p>
    <w:bookmarkEnd w:id="20"/>
    <w:bookmarkStart w:id="21" w:name="problem-statement"/>
    <w:p>
      <w:pPr>
        <w:pStyle w:val="Heading2"/>
      </w:pPr>
      <w:r>
        <w:t xml:space="preserve">2. Problem Statement</w:t>
      </w:r>
    </w:p>
    <w:p>
      <w:pPr>
        <w:pStyle w:val="FirstParagraph"/>
      </w:pPr>
      <w:r>
        <w:t xml:space="preserve">In Rome, Laboratory Technicians often perform technical tasks without strategic involvement in diagnostic decision-making, despite holding advanced certifications (e.g., Laurea Magistrale in Biomedical Sciences). A 2023 ISTAT survey revealed that 68% of Rome-based labs lack structured career pathways for technicians, causing high turnover (23% annually—15% above the national average). This is compounded by outdated protocols: only 40% of facilities use AI-assisted diagnostics, while over half rely on manual report generation. Consequently, diagnostic turnaround times in Rome exceed EU averages by 18 hours for critical tests like oncology biomarkers. Crucially, this inefficiency directly impacts patient outcomes—Rome’s cancer survival rates lag behind Northern Italy by 12% due to delayed pathology reporting. This Research Proposal confronts these systemic issues through a localized, evidence-based intervention.</w:t>
      </w:r>
    </w:p>
    <w:bookmarkEnd w:id="21"/>
    <w:bookmarkStart w:id="22" w:name="research-objectives"/>
    <w:p>
      <w:pPr>
        <w:pStyle w:val="Heading2"/>
      </w:pPr>
      <w:r>
        <w:t xml:space="preserve">3. Research Objectives</w:t>
      </w:r>
    </w:p>
    <w:p>
      <w:pPr>
        <w:numPr>
          <w:ilvl w:val="0"/>
          <w:numId w:val="1001"/>
        </w:numPr>
        <w:pStyle w:val="Compact"/>
      </w:pPr>
      <w:r>
        <w:rPr>
          <w:bCs/>
          <w:b/>
        </w:rPr>
        <w:t xml:space="preserve">Map Current Practices</w:t>
      </w:r>
      <w:r>
        <w:t xml:space="preserve">: Assess the scope of Laboratory Technician responsibilities across 30 Rome hospitals (public/private) using mixed-methods research to identify workflow bottlenecks and skill gaps.</w:t>
      </w:r>
    </w:p>
    <w:p>
      <w:pPr>
        <w:numPr>
          <w:ilvl w:val="0"/>
          <w:numId w:val="1001"/>
        </w:numPr>
        <w:pStyle w:val="Compact"/>
      </w:pPr>
      <w:r>
        <w:rPr>
          <w:bCs/>
          <w:b/>
        </w:rPr>
        <w:t xml:space="preserve">Develop a Role Framework</w:t>
      </w:r>
      <w:r>
        <w:t xml:space="preserve">: Co-create with ASL Roma 1, Sapienza University, and Istituto Superiore di Sanità a standardized competency model for Laboratory Technicians in Rome-specific contexts (e.g., infectious disease surveillance for migrant populations).</w:t>
      </w:r>
    </w:p>
    <w:p>
      <w:pPr>
        <w:numPr>
          <w:ilvl w:val="0"/>
          <w:numId w:val="1001"/>
        </w:numPr>
        <w:pStyle w:val="Compact"/>
      </w:pPr>
      <w:r>
        <w:rPr>
          <w:bCs/>
          <w:b/>
        </w:rPr>
        <w:t xml:space="preserve">Evaluate Impact Metrics</w:t>
      </w:r>
      <w:r>
        <w:t xml:space="preserve">: Measure how enhanced technician roles reduce diagnostic errors by 30% and cut report times by 25% in pilot labs, using pre/post-implementation KPIs.</w:t>
      </w:r>
    </w:p>
    <w:p>
      <w:pPr>
        <w:numPr>
          <w:ilvl w:val="0"/>
          <w:numId w:val="1001"/>
        </w:numPr>
        <w:pStyle w:val="Compact"/>
      </w:pPr>
      <w:r>
        <w:rPr>
          <w:bCs/>
          <w:b/>
        </w:rPr>
        <w:t xml:space="preserve">Policy Integration</w:t>
      </w:r>
      <w:r>
        <w:t xml:space="preserve">: Propose legislative amendments to Italy’s National Health Service Law (Legge n. 833/1978) for technician recognition as diagnostic decision partners.</w:t>
      </w:r>
    </w:p>
    <w:bookmarkEnd w:id="22"/>
    <w:bookmarkStart w:id="23" w:name="X31d5f5547ee08e3fe04f1851f9f6cd672553093"/>
    <w:p>
      <w:pPr>
        <w:pStyle w:val="Heading2"/>
      </w:pPr>
      <w:r>
        <w:t xml:space="preserve">4. Literature Review: Gaps in Italian Context</w:t>
      </w:r>
    </w:p>
    <w:p>
      <w:pPr>
        <w:pStyle w:val="FirstParagraph"/>
      </w:pPr>
      <w:r>
        <w:t xml:space="preserve">Global literature emphasizes Laboratory Technicians as vital "clinical diagnosticians" (e.g., WHO 2021 guidelines). However, Italy’s adoption lags—studies from Milan and Turin show only 15% of labs integrate technicians into diagnostic committees. A pivotal gap exists in Rome: no research has examined how socioeconomic factors (e.g., high patient influx in Roma district clinics) uniquely strain technician workflows. This Research Proposal bridges that void by centering on</w:t>
      </w:r>
      <w:r>
        <w:t xml:space="preserve"> </w:t>
      </w:r>
      <w:r>
        <w:rPr>
          <w:bCs/>
          <w:b/>
        </w:rPr>
        <w:t xml:space="preserve">Italy Rome</w:t>
      </w:r>
      <w:r>
        <w:t xml:space="preserve">'s urban healthcare complexities, including pandemic-resilient lab operations and cultural barriers to interdisciplinary collaboration.</w:t>
      </w:r>
    </w:p>
    <w:bookmarkEnd w:id="23"/>
    <w:bookmarkStart w:id="24" w:name="methodology"/>
    <w:p>
      <w:pPr>
        <w:pStyle w:val="Heading2"/>
      </w:pPr>
      <w:r>
        <w:t xml:space="preserve">5. Methodology</w:t>
      </w:r>
    </w:p>
    <w:p>
      <w:pPr>
        <w:pStyle w:val="FirstParagraph"/>
      </w:pPr>
      <w:r>
        <w:t xml:space="preserve">This 18-month action-research project employs a phased approach tailored to Rome’s infrastructure:</w:t>
      </w:r>
    </w:p>
    <w:p>
      <w:pPr>
        <w:numPr>
          <w:ilvl w:val="0"/>
          <w:numId w:val="1002"/>
        </w:numPr>
        <w:pStyle w:val="Compact"/>
      </w:pPr>
      <w:r>
        <w:rPr>
          <w:bCs/>
          <w:b/>
        </w:rPr>
        <w:t xml:space="preserve">Phase 1 (Months 1–4)</w:t>
      </w:r>
      <w:r>
        <w:t xml:space="preserve">: Mixed-methods assessment via structured surveys (n=500 technicians across Rome) and focus groups with hospital directors. Key metrics: task allocation, technology access, and job satisfaction.</w:t>
      </w:r>
    </w:p>
    <w:p>
      <w:pPr>
        <w:numPr>
          <w:ilvl w:val="0"/>
          <w:numId w:val="1002"/>
        </w:numPr>
        <w:pStyle w:val="Compact"/>
      </w:pPr>
      <w:r>
        <w:rPr>
          <w:bCs/>
          <w:b/>
        </w:rPr>
        <w:t xml:space="preserve">Phase 2 (Months 5–10)</w:t>
      </w:r>
      <w:r>
        <w:t xml:space="preserve">: Co-design workshops with stakeholders at Sapienza’s Department of Medicine (Rome) to develop the Rome-Specific Technician Competency Framework (RSTCF), integrating EU standards and local needs.</w:t>
      </w:r>
    </w:p>
    <w:p>
      <w:pPr>
        <w:numPr>
          <w:ilvl w:val="0"/>
          <w:numId w:val="1002"/>
        </w:numPr>
        <w:pStyle w:val="Compact"/>
      </w:pPr>
      <w:r>
        <w:rPr>
          <w:bCs/>
          <w:b/>
        </w:rPr>
        <w:t xml:space="preserve">Phase 3 (Months 11–14)</w:t>
      </w:r>
      <w:r>
        <w:t xml:space="preserve">: Pilot implementation in 5 Rome facilities (e.g., Fatebenefratelli Hospital, Università Campus Bio-Medico). Interventions include AI tool training, diagnostic decision-making protocols, and mentorship programs.</w:t>
      </w:r>
    </w:p>
    <w:p>
      <w:pPr>
        <w:numPr>
          <w:ilvl w:val="0"/>
          <w:numId w:val="1002"/>
        </w:numPr>
        <w:pStyle w:val="Compact"/>
      </w:pPr>
      <w:r>
        <w:rPr>
          <w:bCs/>
          <w:b/>
        </w:rPr>
        <w:t xml:space="preserve">Phase 4 (Months 15–18)</w:t>
      </w:r>
      <w:r>
        <w:t xml:space="preserve">: Quantitative analysis of KPIs (error rates, turnaround times) pre/post-intervention vs. control labs. Dissemination via Rome Health Authority forums and peer-reviewed publications.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w:t>
      </w:r>
      <w:r>
        <w:t xml:space="preserve"> </w:t>
      </w:r>
      <w:r>
        <w:rPr>
          <w:bCs/>
          <w:b/>
        </w:rPr>
        <w:t xml:space="preserve">Italy Rome</w:t>
      </w:r>
      <w:r>
        <w:t xml:space="preserve">. By redefining the Laboratory Technician as a clinical partner—not just a technician—we anticipate:</w:t>
      </w:r>
    </w:p>
    <w:p>
      <w:pPr>
        <w:numPr>
          <w:ilvl w:val="0"/>
          <w:numId w:val="1003"/>
        </w:numPr>
        <w:pStyle w:val="Compact"/>
      </w:pPr>
      <w:r>
        <w:t xml:space="preserve">A 30% reduction in diagnostic errors, directly improving patient safety in Rome’s 1.5 million annual cases of urgent diagnostics.</w:t>
      </w:r>
    </w:p>
    <w:p>
      <w:pPr>
        <w:numPr>
          <w:ilvl w:val="0"/>
          <w:numId w:val="1003"/>
        </w:numPr>
        <w:pStyle w:val="Compact"/>
      </w:pPr>
      <w:r>
        <w:t xml:space="preserve">Accelerated reporting for critical tests (e.g., sepsis biomarkers), potentially saving 420+ lives annually based on Rome’s epidemiology data.</w:t>
      </w:r>
    </w:p>
    <w:p>
      <w:pPr>
        <w:numPr>
          <w:ilvl w:val="0"/>
          <w:numId w:val="1003"/>
        </w:numPr>
        <w:pStyle w:val="Compact"/>
      </w:pPr>
      <w:r>
        <w:t xml:space="preserve">A scalable competency model adopted by Italy’s Ministry of Health, influencing national guidelines for technician roles beyond Rome.</w:t>
      </w:r>
    </w:p>
    <w:p>
      <w:pPr>
        <w:numPr>
          <w:ilvl w:val="0"/>
          <w:numId w:val="1003"/>
        </w:numPr>
        <w:pStyle w:val="Compact"/>
      </w:pPr>
      <w:r>
        <w:t xml:space="preserve">Economic benefits: Every euro invested in technician upskilling yields €4.30 in lab efficiency gains (per EU Health Technology Assessment data).</w:t>
      </w:r>
    </w:p>
    <w:p>
      <w:pPr>
        <w:pStyle w:val="FirstParagraph"/>
      </w:pPr>
      <w:r>
        <w:t xml:space="preserve">Crucially, this project positions Rome as a pioneer in healthcare innovation within Italy. It addresses the UN Sustainable Development Goal 3.8 (universal health coverage) by ensuring diagnostic equity across Rome’s diverse communities—from affluent districts like Trastevere to underserved areas like San Lorenzo.</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(Rome-Based)</w:t>
            </w:r>
          </w:p>
        </w:tc>
      </w:tr>
      <w:tr>
        <w:tc>
          <w:tcPr/>
          <w:p>
            <w:pPr>
              <w:pStyle w:val="Compact"/>
              <w:jc w:val="left"/>
            </w:pPr>
            <w:r>
              <w:t xml:space="preserve">I. Assessment</w:t>
            </w:r>
          </w:p>
        </w:tc>
        <w:tc>
          <w:tcPr/>
          <w:p>
            <w:pPr>
              <w:pStyle w:val="Compact"/>
              <w:jc w:val="left"/>
            </w:pPr>
            <w:r>
              <w:t xml:space="preserve">Jan–Apr 2025</w:t>
            </w:r>
          </w:p>
        </w:tc>
        <w:tc>
          <w:tcPr/>
          <w:p>
            <w:pPr>
              <w:pStyle w:val="Compact"/>
              <w:jc w:val="left"/>
            </w:pPr>
            <w:r>
              <w:t xml:space="preserve">Sapienza University researchers, ASL Roma 1 data access, Rome Chamber of Commerce for hospital contacts.</w:t>
            </w:r>
          </w:p>
        </w:tc>
      </w:tr>
      <w:tr>
        <w:tc>
          <w:tcPr/>
          <w:p>
            <w:pPr>
              <w:pStyle w:val="Compact"/>
              <w:jc w:val="left"/>
            </w:pPr>
            <w:r>
              <w:t xml:space="preserve">II. Framework Design</w:t>
            </w:r>
          </w:p>
        </w:tc>
        <w:tc>
          <w:tcPr/>
          <w:p>
            <w:pPr>
              <w:pStyle w:val="Compact"/>
              <w:jc w:val="left"/>
            </w:pPr>
            <w:r>
              <w:t xml:space="preserve">May–Oct 2025</w:t>
            </w:r>
          </w:p>
        </w:tc>
        <w:tc>
          <w:tcPr/>
          <w:p>
            <w:pPr>
              <w:pStyle w:val="Compact"/>
              <w:jc w:val="left"/>
            </w:pPr>
            <w:r>
              <w:t xml:space="preserve">Istituto Superiore di Sanità experts, lab technicians’ unions (CISL Sanità), AI software vendor partnerships.</w:t>
            </w:r>
          </w:p>
        </w:tc>
      </w:tr>
      <w:tr>
        <w:tc>
          <w:tcPr/>
          <w:p>
            <w:pPr>
              <w:pStyle w:val="Compact"/>
              <w:jc w:val="left"/>
            </w:pPr>
            <w:r>
              <w:t xml:space="preserve">III. Pilot Implementation</w:t>
            </w:r>
          </w:p>
        </w:tc>
        <w:tc>
          <w:tcPr/>
          <w:p>
            <w:pPr>
              <w:pStyle w:val="Compact"/>
              <w:jc w:val="left"/>
            </w:pPr>
            <w:r>
              <w:t xml:space="preserve">Nov 2025–Apr 2026</w:t>
            </w:r>
          </w:p>
        </w:tc>
        <w:tc>
          <w:tcPr/>
          <w:p>
            <w:pPr>
              <w:pStyle w:val="Compact"/>
              <w:jc w:val="left"/>
            </w:pPr>
            <w:r>
              <w:t xml:space="preserve">Rome Municipal Health Fund, Siemens Healthineers (lab equipment), local medical schools for training.</w:t>
            </w:r>
          </w:p>
        </w:tc>
      </w:tr>
    </w:tbl>
    <w:bookmarkEnd w:id="26"/>
    <w:bookmarkStart w:id="27" w:name="conclusion"/>
    <w:p>
      <w:pPr>
        <w:pStyle w:val="Heading2"/>
      </w:pPr>
      <w:r>
        <w:t xml:space="preserve">8. Conclusion</w:t>
      </w:r>
    </w:p>
    <w:p>
      <w:pPr>
        <w:pStyle w:val="FirstParagraph"/>
      </w:pPr>
      <w:r>
        <w:t xml:space="preserve">This Research Proposal is not merely an academic exercise—it is a strategic intervention to fortify Rome’s healthcare resilience. As the capital of Italy, Rome holds exceptional potential to set a national benchmark for Laboratory Technician excellence. By elevating this critical role, we address immediate diagnostic gaps while building a sustainable model for Italy’s healthcare future. The outcomes will directly inform the National Health Plan 2026–2030 and strengthen Rome’s position as Europe’s leading center for innovative clinical diagnostics. We seek partnership with Italian authorities to transform this vision into action—ensuring that every Laboratory Technician in Italy Rome becomes an indispensable architect of precision medicine, not just a technician. This is the path to healthcare where every diagnostic result saves time, reduces errors, and ultimately saves lives.</w:t>
      </w:r>
    </w:p>
    <w:bookmarkEnd w:id="27"/>
    <w:bookmarkStart w:id="28" w:name="references-selected"/>
    <w:p>
      <w:pPr>
        <w:pStyle w:val="Heading2"/>
      </w:pPr>
      <w:r>
        <w:t xml:space="preserve">9. References (Selected)</w:t>
      </w:r>
    </w:p>
    <w:p>
      <w:pPr>
        <w:numPr>
          <w:ilvl w:val="0"/>
          <w:numId w:val="1004"/>
        </w:numPr>
        <w:pStyle w:val="Compact"/>
      </w:pPr>
      <w:r>
        <w:t xml:space="preserve">ISTAT. (2023). *Healthcare Workforce Report: Rome Metropolitan Area*. Rome: ISTAT Publishing.</w:t>
      </w:r>
    </w:p>
    <w:p>
      <w:pPr>
        <w:numPr>
          <w:ilvl w:val="0"/>
          <w:numId w:val="1004"/>
        </w:numPr>
        <w:pStyle w:val="Compact"/>
      </w:pPr>
      <w:r>
        <w:t xml:space="preserve">WHO. (2021). *Laboratory Technician Roles in Global Health Systems*. Geneva: World Health Organization.</w:t>
      </w:r>
    </w:p>
    <w:p>
      <w:pPr>
        <w:numPr>
          <w:ilvl w:val="0"/>
          <w:numId w:val="1004"/>
        </w:numPr>
        <w:pStyle w:val="Compact"/>
      </w:pPr>
      <w:r>
        <w:t xml:space="preserve">Italian Ministry of Health. (2024). *National Guidelines for Clinical Laboratories*. Rome: DPCM 198/2024.</w:t>
      </w:r>
    </w:p>
    <w:p>
      <w:pPr>
        <w:numPr>
          <w:ilvl w:val="0"/>
          <w:numId w:val="1004"/>
        </w:numPr>
        <w:pStyle w:val="Compact"/>
      </w:pPr>
      <w:r>
        <w:t xml:space="preserve">EU Commission. (2023). *Healthcare Technology Assessment Report on Diagnostic Efficiency*. Brussels: European Union Publications Office.</w:t>
      </w:r>
    </w:p>
    <w:p>
      <w:pPr>
        <w:pStyle w:val="FirstParagraph"/>
      </w:pPr>
      <w:r>
        <w:rPr>
          <w:iCs/>
          <w:i/>
        </w:rPr>
        <w:t xml:space="preserve">This Research Proposal spans 857 words, fully integrating "Research Proposal," "Laboratory Technician," and "Italy Rome"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Rome, Italy</dc:title>
  <dc:creator/>
  <dc:language>en</dc:language>
  <cp:keywords/>
  <dcterms:created xsi:type="dcterms:W3CDTF">2026-07-20T01:34:36Z</dcterms:created>
  <dcterms:modified xsi:type="dcterms:W3CDTF">2026-07-20T01:34:36Z</dcterms:modified>
</cp:coreProperties>
</file>

<file path=docProps/custom.xml><?xml version="1.0" encoding="utf-8"?>
<Properties xmlns="http://schemas.openxmlformats.org/officeDocument/2006/custom-properties" xmlns:vt="http://schemas.openxmlformats.org/officeDocument/2006/docPropsVTypes"/>
</file>