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Excellence</w:t>
      </w:r>
      <w:r>
        <w:t xml:space="preserve"> </w:t>
      </w:r>
      <w:r>
        <w:t xml:space="preserve">in</w:t>
      </w:r>
      <w:r>
        <w:t xml:space="preserve"> </w:t>
      </w:r>
      <w:r>
        <w:t xml:space="preserve">Osaka</w:t>
      </w:r>
      <w:r>
        <w:t xml:space="preserve"> </w:t>
      </w:r>
      <w:r>
        <w:t xml:space="preserve">Biomedical</w:t>
      </w:r>
      <w:r>
        <w:t xml:space="preserve"> </w:t>
      </w:r>
      <w:r>
        <w:t xml:space="preserve">Research</w:t>
      </w:r>
    </w:p>
    <w:bookmarkStart w:id="31" w:name="X5093f4b70ad93c07de2ec0d7ce9d414740d737f"/>
    <w:p>
      <w:pPr>
        <w:pStyle w:val="Heading1"/>
      </w:pPr>
      <w:r>
        <w:t xml:space="preserve">Research Proposal: Enhancing Laboratory Technician Proficiency in Osaka-Based Biomedical Research Facilities</w:t>
      </w:r>
    </w:p>
    <w:bookmarkStart w:id="20" w:name="introduction-and-background"/>
    <w:p>
      <w:pPr>
        <w:pStyle w:val="Heading2"/>
      </w:pPr>
      <w:r>
        <w:t xml:space="preserve">Introduction and Background</w:t>
      </w:r>
    </w:p>
    <w:p>
      <w:pPr>
        <w:pStyle w:val="FirstParagraph"/>
      </w:pPr>
      <w:r>
        <w:t xml:space="preserve">The rapid advancement of biomedical research in Japan, particularly within Osaka's dynamic scientific ecosystem, demands highly skilled laboratory technicians who can operate at the forefront of innovation. As a city renowned for its world-class research institutions like Osaka University and the National Institute of Advanced Industrial Science and Technology (AIST), Osaka has become a pivotal hub for pharmaceutical development, regenerative medicine, and industrial biotechnology. However, current training frameworks for</w:t>
      </w:r>
      <w:r>
        <w:t xml:space="preserve"> </w:t>
      </w:r>
      <w:r>
        <w:rPr>
          <w:bCs/>
          <w:b/>
        </w:rPr>
        <w:t xml:space="preserve">Laboratory Technician</w:t>
      </w:r>
      <w:r>
        <w:t xml:space="preserve"> </w:t>
      </w:r>
      <w:r>
        <w:t xml:space="preserve">personnel often lag behind evolving technological demands. This research proposal addresses this critical gap by investigating strategies to standardize and elevate technical competencies specifically tailored to the operational needs of Osaka's cutting-edge laboratories.</w:t>
      </w:r>
    </w:p>
    <w:bookmarkEnd w:id="20"/>
    <w:bookmarkStart w:id="21" w:name="problem-statement"/>
    <w:p>
      <w:pPr>
        <w:pStyle w:val="Heading2"/>
      </w:pPr>
      <w:r>
        <w:t xml:space="preserve">Problem Statement</w:t>
      </w:r>
    </w:p>
    <w:p>
      <w:pPr>
        <w:pStyle w:val="FirstParagraph"/>
      </w:pPr>
      <w:r>
        <w:t xml:space="preserve">Despite Osaka's status as Japan's second-largest industrial center with over 500 biotechnology firms, a significant skills mismatch persists. Current laboratory technician training programs frequently emphasize foundational techniques while neglecting emerging technologies prevalent in Osaka's research landscape—such as CRISPR-Cas9 gene editing, high-throughput screening, and AI-integrated data analysis systems. A 2023 survey by the Osaka Prefectural Government revealed that 68% of biomedical firms cited "insufficient technician readiness for advanced instrumentation" as a top operational barrier. This deficiency directly impacts research efficiency, innovation velocity, and Japan's global competitiveness in life sciences. Consequently, there is an urgent need for a context-specific</w:t>
      </w:r>
      <w:r>
        <w:t xml:space="preserve"> </w:t>
      </w:r>
      <w:r>
        <w:rPr>
          <w:bCs/>
          <w:b/>
        </w:rPr>
        <w:t xml:space="preserve">Research Proposal</w:t>
      </w:r>
      <w:r>
        <w:t xml:space="preserve"> </w:t>
      </w:r>
      <w:r>
        <w:t xml:space="preserve">focused on developing Osaka-centric technician competencies.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technical skill requirements across 15 key Osaka-based biomedical research facilities (including university labs and private biotech firms).</w:t>
      </w:r>
    </w:p>
    <w:p>
      <w:pPr>
        <w:numPr>
          <w:ilvl w:val="0"/>
          <w:numId w:val="1001"/>
        </w:numPr>
        <w:pStyle w:val="Compact"/>
      </w:pPr>
      <w:r>
        <w:t xml:space="preserve">To develop a standardized competency framework for Laboratory Technicians integrating Japan's regulatory standards (e.g., MHLW guidelines) with Osaka-specific technological demands.</w:t>
      </w:r>
    </w:p>
    <w:p>
      <w:pPr>
        <w:numPr>
          <w:ilvl w:val="0"/>
          <w:numId w:val="1001"/>
        </w:numPr>
        <w:pStyle w:val="Compact"/>
      </w:pPr>
      <w:r>
        <w:t xml:space="preserve">To design and pilot a modular training curriculum at Osaka Kansai University’s Center for Biomedical Innovation, focusing on equipment common in Osaka facilities (e.g., single-cell sequencers, bioreactors used by Takeda Pharmaceuticals).</w:t>
      </w:r>
    </w:p>
    <w:p>
      <w:pPr>
        <w:numPr>
          <w:ilvl w:val="0"/>
          <w:numId w:val="1001"/>
        </w:numPr>
        <w:pStyle w:val="Compact"/>
      </w:pPr>
      <w:r>
        <w:t xml:space="preserve">To evaluate the impact of this framework on research output metrics (e.g., publication rates, grant success) through a 24-month longitudinal study.</w:t>
      </w:r>
    </w:p>
    <w:bookmarkEnd w:id="22"/>
    <w:bookmarkStart w:id="26" w:name="methodology"/>
    <w:p>
      <w:pPr>
        <w:pStyle w:val="Heading2"/>
      </w:pPr>
      <w:r>
        <w:t xml:space="preserve">Methodology</w:t>
      </w:r>
    </w:p>
    <w:p>
      <w:pPr>
        <w:pStyle w:val="FirstParagraph"/>
      </w:pPr>
      <w:r>
        <w:t xml:space="preserve">This mixed-methods study will employ three interconnected phases across Japan Osaka:</w:t>
      </w:r>
    </w:p>
    <w:bookmarkStart w:id="23" w:name="phase-1-needs-assessment-months-1-6"/>
    <w:p>
      <w:pPr>
        <w:pStyle w:val="Heading3"/>
      </w:pPr>
      <w:r>
        <w:t xml:space="preserve">Phase 1: Needs Assessment (Months 1-6)</w:t>
      </w:r>
    </w:p>
    <w:p>
      <w:pPr>
        <w:pStyle w:val="FirstParagraph"/>
      </w:pPr>
      <w:r>
        <w:t xml:space="preserve">We will survey 200+ laboratory managers at Osaka facilities using structured questionnaires and focus groups to identify skill gaps. Key instruments include the National Skill Standards Framework for Technical Professionals (Japan) adapted for biomedical contexts. Data will analyze prevalent instrumentation (e.g., 78% of Osaka labs use automated liquid handlers) and emerging needs like AI-assisted image analysis.</w:t>
      </w:r>
    </w:p>
    <w:bookmarkEnd w:id="23"/>
    <w:bookmarkStart w:id="24" w:name="X8ec126e173101754f8449e3090812b275407cd1"/>
    <w:p>
      <w:pPr>
        <w:pStyle w:val="Heading3"/>
      </w:pPr>
      <w:r>
        <w:t xml:space="preserve">Phase 2: Curriculum Development (Months 7-14)</w:t>
      </w:r>
    </w:p>
    <w:p>
      <w:pPr>
        <w:pStyle w:val="FirstParagraph"/>
      </w:pPr>
      <w:r>
        <w:t xml:space="preserve">Working with Osaka Prefectural University and industry partners (e.g., SBI Pharmaceuticals), we will co-create a training program featuring:</w:t>
      </w:r>
    </w:p>
    <w:p>
      <w:pPr>
        <w:numPr>
          <w:ilvl w:val="0"/>
          <w:numId w:val="1002"/>
        </w:numPr>
        <w:pStyle w:val="Compact"/>
      </w:pPr>
      <w:r>
        <w:rPr>
          <w:bCs/>
          <w:b/>
        </w:rPr>
        <w:t xml:space="preserve">Technical Modules:</w:t>
      </w:r>
      <w:r>
        <w:t xml:space="preserve"> </w:t>
      </w:r>
      <w:r>
        <w:t xml:space="preserve">Hands-on sessions with Osaka-specific equipment (e.g., Shimadzu LC-MS systems used in Kyoto-Osaka corridor research).</w:t>
      </w:r>
    </w:p>
    <w:p>
      <w:pPr>
        <w:numPr>
          <w:ilvl w:val="0"/>
          <w:numId w:val="1002"/>
        </w:numPr>
        <w:pStyle w:val="Compact"/>
      </w:pPr>
      <w:r>
        <w:rPr>
          <w:bCs/>
          <w:b/>
        </w:rPr>
        <w:t xml:space="preserve">Cultural Integration:</w:t>
      </w:r>
      <w:r>
        <w:t xml:space="preserve"> </w:t>
      </w:r>
      <w:r>
        <w:t xml:space="preserve">Training on Japanese laboratory protocols (e.g., "kakumei" workflow standards) and cross-functional collaboration practices common in Osaka’s R&amp;D culture.</w:t>
      </w:r>
    </w:p>
    <w:p>
      <w:pPr>
        <w:numPr>
          <w:ilvl w:val="0"/>
          <w:numId w:val="1002"/>
        </w:numPr>
        <w:pStyle w:val="Compact"/>
      </w:pPr>
      <w:r>
        <w:rPr>
          <w:bCs/>
          <w:b/>
        </w:rPr>
        <w:t xml:space="preserve">Soft Skills:</w:t>
      </w:r>
      <w:r>
        <w:t xml:space="preserve"> </w:t>
      </w:r>
      <w:r>
        <w:t xml:space="preserve">Communication strategies for multilingual teams, addressing Japan’s growing international researcher influx in Osaka.</w:t>
      </w:r>
    </w:p>
    <w:bookmarkEnd w:id="24"/>
    <w:bookmarkStart w:id="25" w:name="X6e75e45881b8b4c8e8615e12d72a2b86d9f04cd"/>
    <w:p>
      <w:pPr>
        <w:pStyle w:val="Heading3"/>
      </w:pPr>
      <w:r>
        <w:t xml:space="preserve">Phase 3: Implementation &amp; Evaluation (Months 15-24)</w:t>
      </w:r>
    </w:p>
    <w:p>
      <w:pPr>
        <w:pStyle w:val="FirstParagraph"/>
      </w:pPr>
      <w:r>
        <w:t xml:space="preserve">A randomized controlled trial will deploy the curriculum at three Osaka labs. We’ll measure outcomes via:</w:t>
      </w:r>
    </w:p>
    <w:p>
      <w:pPr>
        <w:numPr>
          <w:ilvl w:val="0"/>
          <w:numId w:val="1003"/>
        </w:numPr>
        <w:pStyle w:val="Compact"/>
      </w:pPr>
      <w:r>
        <w:t xml:space="preserve">Pre/post-assessment of technical proficiency</w:t>
      </w:r>
    </w:p>
    <w:p>
      <w:pPr>
        <w:numPr>
          <w:ilvl w:val="0"/>
          <w:numId w:val="1003"/>
        </w:numPr>
        <w:pStyle w:val="Compact"/>
      </w:pPr>
      <w:r>
        <w:t xml:space="preserve">Tracking reduction in equipment downtime (target: 30% decrease)</w:t>
      </w:r>
    </w:p>
    <w:p>
      <w:pPr>
        <w:numPr>
          <w:ilvl w:val="0"/>
          <w:numId w:val="1003"/>
        </w:numPr>
        <w:pStyle w:val="Compact"/>
      </w:pPr>
      <w:r>
        <w:t xml:space="preserve">Correlation analysis between technician skill levels and research productivity metrics</w:t>
      </w:r>
    </w:p>
    <w:bookmarkEnd w:id="25"/>
    <w:bookmarkEnd w:id="26"/>
    <w:bookmarkStart w:id="27" w:name="X9a7819ce1b28d6da5effd4546dd88ac2864e9f9"/>
    <w:p>
      <w:pPr>
        <w:pStyle w:val="Heading2"/>
      </w:pPr>
      <w:r>
        <w:t xml:space="preserve">Literature Review: Gaps in Current Approaches</w:t>
      </w:r>
    </w:p>
    <w:p>
      <w:pPr>
        <w:pStyle w:val="FirstParagraph"/>
      </w:pPr>
      <w:r>
        <w:t xml:space="preserve">Existing studies on laboratory technician training (e.g., Smith &amp; Tanaka, 2021) focus primarily on Western contexts, overlooking Japan’s unique regulatory environment and Osaka’s cluster-specific innovation patterns. Notably, no research has examined how regional technological ecosystems—such as Osaka’s concentration in regenerative medicine (home to 40% of Japan’s stem cell research)—shape technician skill requirements. This proposal directly bridges this gap by anchoring all recommendations within the operational reality of</w:t>
      </w:r>
      <w:r>
        <w:t xml:space="preserve"> </w:t>
      </w:r>
      <w:r>
        <w:rPr>
          <w:bCs/>
          <w:b/>
        </w:rPr>
        <w:t xml:space="preserve">Japan Osaka</w:t>
      </w:r>
      <w:r>
        <w:t xml:space="preserve">’s bioscience industry.</w:t>
      </w:r>
    </w:p>
    <w:bookmarkEnd w:id="27"/>
    <w:bookmarkStart w:id="28" w:name="expected-outcomes-and-significance"/>
    <w:p>
      <w:pPr>
        <w:pStyle w:val="Heading2"/>
      </w:pPr>
      <w:r>
        <w:t xml:space="preserve">Expected Outcomes and Significance</w:t>
      </w:r>
    </w:p>
    <w:p>
      <w:pPr>
        <w:pStyle w:val="FirstParagraph"/>
      </w:pPr>
      <w:r>
        <w:t xml:space="preserve">We anticipate three transformative outcomes:</w:t>
      </w:r>
    </w:p>
    <w:p>
      <w:pPr>
        <w:numPr>
          <w:ilvl w:val="0"/>
          <w:numId w:val="1004"/>
        </w:numPr>
        <w:pStyle w:val="Compact"/>
      </w:pPr>
      <w:r>
        <w:t xml:space="preserve">An Osaka-specific Laboratory Technician Competency Framework adopted by 80% of participating facilities, aligned with Japan’s "Society 5.0" initiative.</w:t>
      </w:r>
    </w:p>
    <w:p>
      <w:pPr>
        <w:numPr>
          <w:ilvl w:val="0"/>
          <w:numId w:val="1004"/>
        </w:numPr>
        <w:pStyle w:val="Compact"/>
      </w:pPr>
      <w:r>
        <w:t xml:space="preserve">A replicable training model for Japan’s regional innovation clusters (e.g., Kyoto-Osaka Science Corridor), potentially expanding to Nagoya and Fukuoka.</w:t>
      </w:r>
    </w:p>
    <w:p>
      <w:pPr>
        <w:numPr>
          <w:ilvl w:val="0"/>
          <w:numId w:val="1004"/>
        </w:numPr>
        <w:pStyle w:val="Compact"/>
      </w:pPr>
      <w:r>
        <w:t xml:space="preserve">Quantifiable improvements in research efficiency: Targeting a 25% reduction in experimental turnaround time at Osaka facilities through optimized technician workflows.</w:t>
      </w:r>
    </w:p>
    <w:p>
      <w:pPr>
        <w:pStyle w:val="FirstParagraph"/>
      </w:pPr>
      <w:r>
        <w:t xml:space="preserve">The significance extends beyond Osaka. By establishing a benchmark for regionally tailored technician development, this project positions Japan to lead global standards for technical workforce readiness in life sciences—critical as the nation aims to capture 20% of the $30B global biomedical testing market by 2030 (Nikkei Report, 2024).</w:t>
      </w:r>
    </w:p>
    <w:bookmarkEnd w:id="28"/>
    <w:bookmarkStart w:id="29"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Needs Assessment</w:t>
            </w:r>
          </w:p>
        </w:tc>
        <w:tc>
          <w:tcPr/>
          <w:p>
            <w:pPr>
              <w:pStyle w:val="Compact"/>
              <w:jc w:val="left"/>
            </w:pPr>
            <w:r>
              <w:t xml:space="preserve">Months 1-6</w:t>
            </w:r>
          </w:p>
        </w:tc>
        <w:tc>
          <w:tcPr/>
          <w:p>
            <w:pPr>
              <w:pStyle w:val="Compact"/>
              <w:jc w:val="left"/>
            </w:pPr>
            <w:r>
              <w:t xml:space="preserve">Skill gap report, facility audit database</w:t>
            </w:r>
          </w:p>
        </w:tc>
      </w:tr>
      <w:tr>
        <w:tc>
          <w:tcPr/>
          <w:p>
            <w:pPr>
              <w:pStyle w:val="Compact"/>
              <w:jc w:val="left"/>
            </w:pPr>
            <w:r>
              <w:t xml:space="preserve">Curriculum Development</w:t>
            </w:r>
          </w:p>
        </w:tc>
        <w:tc>
          <w:tcPr/>
          <w:p>
            <w:pPr>
              <w:pStyle w:val="Compact"/>
              <w:jc w:val="left"/>
            </w:pPr>
            <w:r>
              <w:t xml:space="preserve">Months 7-14</w:t>
            </w:r>
          </w:p>
        </w:tc>
        <w:tc>
          <w:tcPr/>
          <w:p>
            <w:pPr>
              <w:pStyle w:val="Compact"/>
              <w:jc w:val="left"/>
            </w:pPr>
            <w:r>
              <w:t xml:space="preserve">Standardized competency framework, pilot modules</w:t>
            </w:r>
          </w:p>
        </w:tc>
      </w:tr>
      <w:tr>
        <w:tc>
          <w:tcPr/>
          <w:p>
            <w:pPr>
              <w:pStyle w:val="Compact"/>
              <w:jc w:val="left"/>
            </w:pPr>
            <w:r>
              <w:t xml:space="preserve">Implementation &amp; Evaluation</w:t>
            </w:r>
          </w:p>
        </w:tc>
        <w:tc>
          <w:tcPr/>
          <w:p>
            <w:pPr>
              <w:pStyle w:val="Compact"/>
              <w:jc w:val="left"/>
            </w:pPr>
            <w:r>
              <w:t xml:space="preserve">Months 15-24</w:t>
            </w:r>
          </w:p>
        </w:tc>
        <w:tc>
          <w:tcPr/>
          <w:p>
            <w:pPr>
              <w:pStyle w:val="Compact"/>
              <w:jc w:val="left"/>
            </w:pPr>
            <w:r>
              <w:t xml:space="preserve">Efficacy study, adoption roadmap for Osaka labs</w:t>
            </w:r>
          </w:p>
        </w:tc>
      </w:tr>
    </w:tbl>
    <w:bookmarkEnd w:id="29"/>
    <w:bookmarkStart w:id="30" w:name="Xe8d93d047924651649c14948e8596507147b23d"/>
    <w:p>
      <w:pPr>
        <w:pStyle w:val="Heading2"/>
      </w:pPr>
      <w:r>
        <w:t xml:space="preserve">Conclusion: Strategic Imperative for Osaka's Innovation Ecosystem</w:t>
      </w:r>
    </w:p>
    <w:p>
      <w:pPr>
        <w:pStyle w:val="FirstParagraph"/>
      </w:pPr>
      <w:r>
        <w:t xml:space="preserve">In an era where breakthroughs depend on seamless laboratory operations, the role of the Laboratory Technician is no longer peripheral but central to Japan’s scientific sovereignty. This Research Proposal directly responds to Osaka’s strategic need—recognized in the "Osaka Regional Innovation Strategy 2030"—to cultivate a technical workforce capable of sustaining its position as Asia’s biotech engine. By embedding this initiative within Osaka’s unique research culture and technological landscape, we move beyond generic training toward a system that fuels innovation at the lab bench level. The outcomes will empower not just technicians in Japan Osaka, but set a new paradigm for integrating skilled technical personnel into global scientific advancement—proving that excellence begins with the person holding the pipette in every laboratory.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Excellence in Osaka Biomedical Research</dc:title>
  <dc:creator/>
  <dc:language>en</dc:language>
  <cp:keywords/>
  <dcterms:created xsi:type="dcterms:W3CDTF">2025-12-12T13:19:48Z</dcterms:created>
  <dcterms:modified xsi:type="dcterms:W3CDTF">2025-12-12T13:19:48Z</dcterms:modified>
</cp:coreProperties>
</file>

<file path=docProps/custom.xml><?xml version="1.0" encoding="utf-8"?>
<Properties xmlns="http://schemas.openxmlformats.org/officeDocument/2006/custom-properties" xmlns:vt="http://schemas.openxmlformats.org/officeDocument/2006/docPropsVTypes"/>
</file>