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7" w:name="X9bfad73135e1a8f76baaa0a0f6e2129dfd9dc10"/>
    <w:p>
      <w:pPr>
        <w:pStyle w:val="Heading1"/>
      </w:pPr>
      <w:r>
        <w:t xml:space="preserve">Research Proposal: Enhancing Laboratory Technician Proficiency for Healthcare Excellence in Kuwait City</w:t>
      </w:r>
    </w:p>
    <w:bookmarkStart w:id="20" w:name="introduction-and-background"/>
    <w:p>
      <w:pPr>
        <w:pStyle w:val="Heading2"/>
      </w:pPr>
      <w:r>
        <w:t xml:space="preserve">Introduction and Background</w:t>
      </w:r>
    </w:p>
    <w:p>
      <w:pPr>
        <w:pStyle w:val="FirstParagraph"/>
      </w:pPr>
      <w:r>
        <w:t xml:space="preserve">The Kingdom of Kuwait, particularly its vibrant capital city Kuwait City, stands at a pivotal juncture in advancing its healthcare infrastructure to meet the evolving demands of a modernizing population and global health challenges. As the central hub for medical services across the nation, Kuwait City hosts critical diagnostic facilities including public hospitals (e.g., Al-Amiri Hospital, Mubarak Al-Kabeer Hospital), specialized clinics, and research institutes under the Ministry of Health (MOH). Central to the functionality of these institutions is the Laboratory Technician—a highly skilled professional responsible for performing precise diagnostic tests that directly influence patient diagnosis, treatment planning, and public health surveillance. However, a growing gap exists between the escalating demand for high-quality laboratory services and the current capacity of trained</w:t>
      </w:r>
      <w:r>
        <w:t xml:space="preserve"> </w:t>
      </w:r>
      <w:r>
        <w:rPr>
          <w:bCs/>
          <w:b/>
        </w:rPr>
        <w:t xml:space="preserve">Laboratory Technician</w:t>
      </w:r>
      <w:r>
        <w:t xml:space="preserve"> </w:t>
      </w:r>
      <w:r>
        <w:t xml:space="preserve">personnel within Kuwait City's healthcare ecosystem. This Research Proposal addresses this critical need by proposing a comprehensive study focused on optimizing Laboratory Technician roles, training pathways, and operational integration specifically for Kuwait City.</w:t>
      </w:r>
    </w:p>
    <w:bookmarkEnd w:id="20"/>
    <w:bookmarkStart w:id="21" w:name="problem-statement"/>
    <w:p>
      <w:pPr>
        <w:pStyle w:val="Heading2"/>
      </w:pPr>
      <w:r>
        <w:t xml:space="preserve">Problem Statement</w:t>
      </w:r>
    </w:p>
    <w:p>
      <w:pPr>
        <w:pStyle w:val="FirstParagraph"/>
      </w:pPr>
      <w:r>
        <w:t xml:space="preserve">Kuwait City faces significant challenges in its laboratory services due to inadequate staffing levels and evolving technical requirements. According to recent MOH reports (2023), approximately 65% of clinical laboratories in Kuwait City report chronic understaffing, leading to delayed test results, increased error rates during high-volume periods (e.g., infectious disease outbreaks), and heightened pressure on existing technicians. Furthermore, the rapid adoption of advanced diagnostic technologies—such as next-generation sequencing for genetic disorders and point-of-care testing in primary care settings—has outpaced the current training frameworks for</w:t>
      </w:r>
      <w:r>
        <w:t xml:space="preserve"> </w:t>
      </w:r>
      <w:r>
        <w:rPr>
          <w:bCs/>
          <w:b/>
        </w:rPr>
        <w:t xml:space="preserve">Laboratory Technician</w:t>
      </w:r>
      <w:r>
        <w:t xml:space="preserve"> </w:t>
      </w:r>
      <w:r>
        <w:t xml:space="preserve">personnel. This skills mismatch threatens Kuwait City's ability to achieve its national healthcare goals outlined in Vision 2035, which emphasizes precision medicine and early disease detection. Without targeted intervention, the quality of diagnostic services in Kuwait City will remain suboptimal, impacting public health outcomes and potentially deterring medical tourism initiatives.</w:t>
      </w:r>
    </w:p>
    <w:bookmarkEnd w:id="21"/>
    <w:bookmarkStart w:id="22" w:name="research-objectives"/>
    <w:p>
      <w:pPr>
        <w:pStyle w:val="Heading2"/>
      </w:pPr>
      <w:r>
        <w:t xml:space="preserve">Research Objectives</w:t>
      </w:r>
    </w:p>
    <w:p>
      <w:pPr>
        <w:numPr>
          <w:ilvl w:val="0"/>
          <w:numId w:val="1001"/>
        </w:numPr>
        <w:pStyle w:val="Compact"/>
      </w:pPr>
      <w:r>
        <w:t xml:space="preserve">To conduct a detailed assessment of current staffing levels, skill sets, and workload distribution among Laboratory Technicians across major healthcare facilities in Kuwait City.</w:t>
      </w:r>
    </w:p>
    <w:p>
      <w:pPr>
        <w:numPr>
          <w:ilvl w:val="0"/>
          <w:numId w:val="1001"/>
        </w:numPr>
        <w:pStyle w:val="Compact"/>
      </w:pPr>
      <w:r>
        <w:t xml:space="preserve">To identify specific technical and procedural competency gaps related to emerging diagnostic technologies within the Kuwait City laboratory environment.</w:t>
      </w:r>
    </w:p>
    <w:p>
      <w:pPr>
        <w:numPr>
          <w:ilvl w:val="0"/>
          <w:numId w:val="1001"/>
        </w:numPr>
        <w:pStyle w:val="Compact"/>
      </w:pPr>
      <w:r>
        <w:t xml:space="preserve">To evaluate the effectiveness of existing training programs for</w:t>
      </w:r>
      <w:r>
        <w:t xml:space="preserve"> </w:t>
      </w:r>
      <w:r>
        <w:rPr>
          <w:bCs/>
          <w:b/>
        </w:rPr>
        <w:t xml:space="preserve">Laboratory Technician</w:t>
      </w:r>
      <w:r>
        <w:t xml:space="preserve"> </w:t>
      </w:r>
      <w:r>
        <w:t xml:space="preserve">roles in Kuwait, including collaboration between academic institutions (e.g., Kuwait University, College of Health Sciences) and healthcare providers.</w:t>
      </w:r>
    </w:p>
    <w:p>
      <w:pPr>
        <w:numPr>
          <w:ilvl w:val="0"/>
          <w:numId w:val="1001"/>
        </w:numPr>
        <w:pStyle w:val="Compact"/>
      </w:pPr>
      <w:r>
        <w:t xml:space="preserve">To develop a tailored, evidence-based competency framework and training roadmap for Laboratory Technicians in Kuwait City to align with national healthcare priorities.</w:t>
      </w:r>
    </w:p>
    <w:bookmarkEnd w:id="22"/>
    <w:bookmarkStart w:id="23" w:name="methodology"/>
    <w:p>
      <w:pPr>
        <w:pStyle w:val="Heading2"/>
      </w:pPr>
      <w:r>
        <w:t xml:space="preserve">Methodology</w:t>
      </w:r>
    </w:p>
    <w:p>
      <w:pPr>
        <w:pStyle w:val="FirstParagraph"/>
      </w:pPr>
      <w:r>
        <w:t xml:space="preserve">This mixed-methods research proposal employs a structured three-phase approach designed for direct relevance to Kuwait City:</w:t>
      </w:r>
    </w:p>
    <w:p>
      <w:pPr>
        <w:numPr>
          <w:ilvl w:val="0"/>
          <w:numId w:val="1002"/>
        </w:numPr>
        <w:pStyle w:val="Compact"/>
      </w:pPr>
      <w:r>
        <w:rPr>
          <w:bCs/>
          <w:b/>
        </w:rPr>
        <w:t xml:space="preserve">Phase 1: Needs Assessment Survey &amp; Data Collection (Months 1-3):</w:t>
      </w:r>
      <w:r>
        <w:t xml:space="preserve"> </w:t>
      </w:r>
      <w:r>
        <w:t xml:space="preserve">A stratified survey targeting all licensed Laboratory Technicians employed in public and private hospitals, diagnostic centers, and reference laboratories across Kuwait City. The survey will quantify staffing ratios, workload intensity, self-assessed competency levels in key technologies (e.g., PCR, immunoassays), and perceived training needs. Complementing this will be semi-structured interviews with 15+ laboratory managers and MOH officials to contextualize findings.</w:t>
      </w:r>
    </w:p>
    <w:p>
      <w:pPr>
        <w:numPr>
          <w:ilvl w:val="0"/>
          <w:numId w:val="1002"/>
        </w:numPr>
        <w:pStyle w:val="Compact"/>
      </w:pPr>
      <w:r>
        <w:rPr>
          <w:bCs/>
          <w:b/>
        </w:rPr>
        <w:t xml:space="preserve">Phase 2: Competency Gap Analysis (Months 4-6):</w:t>
      </w:r>
      <w:r>
        <w:t xml:space="preserve"> </w:t>
      </w:r>
      <w:r>
        <w:t xml:space="preserve">Cross-referencing survey data with national diagnostic service standards and international best practices (e.g., WHO guidelines, CLIA). This phase will map current Technician competencies against required skills for future-proofing Kuwait City's laboratories, focusing on high-priority areas like infectious disease diagnostics, oncology biomarkers, and digital lab management systems.</w:t>
      </w:r>
    </w:p>
    <w:p>
      <w:pPr>
        <w:numPr>
          <w:ilvl w:val="0"/>
          <w:numId w:val="1002"/>
        </w:numPr>
        <w:pStyle w:val="Compact"/>
      </w:pPr>
      <w:r>
        <w:rPr>
          <w:bCs/>
          <w:b/>
        </w:rPr>
        <w:t xml:space="preserve">Phase 3: Framework Development &amp; Stakeholder Validation (Months 7-9):</w:t>
      </w:r>
      <w:r>
        <w:t xml:space="preserve"> </w:t>
      </w:r>
      <w:r>
        <w:t xml:space="preserve">Co-creating a practical competency framework and training module blueprint with key Kuwait City stakeholders: MOH, Kuwait University Faculty of Medicine, leading private diagnostic chains (e.g., Al-Ahli Hospital Group), and professional bodies like the Kuwait Society for Medical Laboratory Sciences. This phase includes focus groups to refine the proposed model for local implementation within Kuwait City's regulatory and cultural context.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tangible, actionable outcomes directly benefiting the healthcare infrastructure of Kuwait City:</w:t>
      </w:r>
    </w:p>
    <w:p>
      <w:pPr>
        <w:numPr>
          <w:ilvl w:val="0"/>
          <w:numId w:val="1003"/>
        </w:numPr>
        <w:pStyle w:val="Compact"/>
      </w:pPr>
      <w:r>
        <w:t xml:space="preserve">A validated, localized competency matrix defining essential skills for each level of Laboratory Technician within Kuwait City's specific healthcare landscape.</w:t>
      </w:r>
    </w:p>
    <w:p>
      <w:pPr>
        <w:numPr>
          <w:ilvl w:val="0"/>
          <w:numId w:val="1003"/>
        </w:numPr>
        <w:pStyle w:val="Compact"/>
      </w:pPr>
      <w:r>
        <w:t xml:space="preserve">A practical training curriculum prototype integrating hands-on technology use (e.g., automated analyzers, data analytics tools) with Kuwait-specific disease profiles and MOH protocols.</w:t>
      </w:r>
    </w:p>
    <w:p>
      <w:pPr>
        <w:numPr>
          <w:ilvl w:val="0"/>
          <w:numId w:val="1003"/>
        </w:numPr>
        <w:pStyle w:val="Compact"/>
      </w:pPr>
      <w:r>
        <w:t xml:space="preserve">Recommendations for policy alignment, including potential updates to licensing requirements for Laboratory Technicians administered by the Ministry of Health in Kuwait City.</w:t>
      </w:r>
    </w:p>
    <w:p>
      <w:pPr>
        <w:numPr>
          <w:ilvl w:val="0"/>
          <w:numId w:val="1003"/>
        </w:numPr>
        <w:pStyle w:val="Compact"/>
      </w:pPr>
      <w:r>
        <w:t xml:space="preserve">A roadmap for academic-industry partnerships to establish continuous professional development pathways within Kuwait City, reducing reliance on expatriate technicians and fostering local talent retention.</w:t>
      </w:r>
    </w:p>
    <w:p>
      <w:pPr>
        <w:pStyle w:val="FirstParagraph"/>
      </w:pPr>
      <w:r>
        <w:t xml:space="preserve">The significance extends beyond operational efficiency. By strengthening the Laboratory Technician workforce, this research directly supports Kuwait City’s strategic goals in public health security (e.g., rapid response to outbreaks), cost-effective healthcare delivery (reducing unnecessary repeat testing), and positioning Kuwait as a regional leader in diagnostic excellence. The proposed framework will serve as a replicable model for other Gulf Cooperation Council (GCC) nations, enhancing the global relevance of this</w:t>
      </w:r>
      <w:r>
        <w:t xml:space="preserve"> </w:t>
      </w:r>
      <w:r>
        <w:rPr>
          <w:bCs/>
          <w:b/>
        </w:rPr>
        <w:t xml:space="preserve">Research Proposal</w:t>
      </w:r>
      <w:r>
        <w:t xml:space="preserve">.</w:t>
      </w:r>
    </w:p>
    <w:bookmarkEnd w:id="24"/>
    <w:bookmarkStart w:id="25" w:name="timeline-and-implementation"/>
    <w:p>
      <w:pPr>
        <w:pStyle w:val="Heading2"/>
      </w:pPr>
      <w:r>
        <w:t xml:space="preserve">Timeline and Implementation</w:t>
      </w:r>
    </w:p>
    <w:p>
      <w:pPr>
        <w:pStyle w:val="FirstParagraph"/>
      </w:pPr>
      <w:r>
        <w:t xml:space="preserve">The project is designed for swift, impactful deployment within Kuwait City:</w:t>
      </w:r>
    </w:p>
    <w:p>
      <w:pPr>
        <w:numPr>
          <w:ilvl w:val="0"/>
          <w:numId w:val="1004"/>
        </w:numPr>
        <w:pStyle w:val="Compact"/>
      </w:pPr>
      <w:r>
        <w:rPr>
          <w:bCs/>
          <w:b/>
        </w:rPr>
        <w:t xml:space="preserve">Months 1-3:</w:t>
      </w:r>
      <w:r>
        <w:t xml:space="preserve"> </w:t>
      </w:r>
      <w:r>
        <w:t xml:space="preserve">Finalize survey instruments, secure ethical approvals from Kuwait University and MOH, recruit participants across Kuwait City facilities.</w:t>
      </w:r>
    </w:p>
    <w:p>
      <w:pPr>
        <w:numPr>
          <w:ilvl w:val="0"/>
          <w:numId w:val="1004"/>
        </w:numPr>
        <w:pStyle w:val="Compact"/>
      </w:pPr>
      <w:r>
        <w:rPr>
          <w:bCs/>
          <w:b/>
        </w:rPr>
        <w:t xml:space="preserve">Months 4-6:</w:t>
      </w:r>
      <w:r>
        <w:t xml:space="preserve"> </w:t>
      </w:r>
      <w:r>
        <w:t xml:space="preserve">Data collection (surveys/interviews), initial gap analysis.</w:t>
      </w:r>
    </w:p>
    <w:p>
      <w:pPr>
        <w:numPr>
          <w:ilvl w:val="0"/>
          <w:numId w:val="1004"/>
        </w:numPr>
        <w:pStyle w:val="Compact"/>
      </w:pPr>
      <w:r>
        <w:rPr>
          <w:bCs/>
          <w:b/>
        </w:rPr>
        <w:t xml:space="preserve">Months 7-9:</w:t>
      </w:r>
      <w:r>
        <w:t xml:space="preserve"> </w:t>
      </w:r>
      <w:r>
        <w:t xml:space="preserve">Framework development, stakeholder validation workshops in Kuwait City, final report compilation and presentation to MOH leadership.</w:t>
      </w:r>
    </w:p>
    <w:p>
      <w:pPr>
        <w:numPr>
          <w:ilvl w:val="0"/>
          <w:numId w:val="1004"/>
        </w:numPr>
        <w:pStyle w:val="Compact"/>
      </w:pPr>
      <w:r>
        <w:rPr>
          <w:bCs/>
          <w:b/>
        </w:rPr>
        <w:t xml:space="preserve">Months 10-12:</w:t>
      </w:r>
      <w:r>
        <w:t xml:space="preserve"> </w:t>
      </w:r>
      <w:r>
        <w:t xml:space="preserve">Dissemination of findings via local conferences (e.g., Kuwait Medical Society Annual Meeting), pilot implementation planning with key hospitals in Kuwait City.</w:t>
      </w:r>
    </w:p>
    <w:bookmarkEnd w:id="25"/>
    <w:bookmarkStart w:id="26" w:name="conclusion"/>
    <w:p>
      <w:pPr>
        <w:pStyle w:val="Heading2"/>
      </w:pPr>
      <w:r>
        <w:t xml:space="preserve">Conclusion</w:t>
      </w:r>
    </w:p>
    <w:p>
      <w:pPr>
        <w:pStyle w:val="FirstParagraph"/>
      </w:pPr>
      <w:r>
        <w:t xml:space="preserve">The role of the Laboratory Technician is fundamental to the diagnostic backbone of healthcare systems, and their proficiency directly correlates with patient safety and health outcomes. In the dynamic context of Kuwait City, where healthcare demands are rapidly expanding and technology is advancing exponentially, this Research Proposal presents a timely and necessary investigation into optimizing this critical workforce. It moves beyond generic solutions by embedding every aspect of the study within the unique operational, regulatory, and strategic environment of Kuwait City. By providing evidence-based insights for training enhancement and workforce planning specifically for Laboratory Technicians in Kuwait City, this research will contribute significantly to realizing Kuwait’s Vision 2035 objectives through a more resilient, skilled, and future-ready healthcare system. Investing in the Laboratory Technician profession within Kuwait City is not merely an operational upgrade—it is a strategic imperative for national health security and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Development in Kuwait City</dc:title>
  <dc:creator/>
  <cp:keywords/>
  <dcterms:created xsi:type="dcterms:W3CDTF">2026-07-21T09:54:07Z</dcterms:created>
  <dcterms:modified xsi:type="dcterms:W3CDTF">2026-07-21T09:54:07Z</dcterms:modified>
</cp:coreProperties>
</file>

<file path=docProps/custom.xml><?xml version="1.0" encoding="utf-8"?>
<Properties xmlns="http://schemas.openxmlformats.org/officeDocument/2006/custom-properties" xmlns:vt="http://schemas.openxmlformats.org/officeDocument/2006/docPropsVTypes"/>
</file>