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1a8e85e418de9745e6723547449621e14ffd7d0"/>
    <w:p>
      <w:pPr>
        <w:pStyle w:val="Heading1"/>
      </w:pPr>
      <w:r>
        <w:t xml:space="preserve">Research Proposal: Advancing Laboratory Technician Excellence in New Zealand Auckland</w:t>
      </w:r>
    </w:p>
    <w:bookmarkStart w:id="20" w:name="introduction-and-background"/>
    <w:p>
      <w:pPr>
        <w:pStyle w:val="Heading2"/>
      </w:pPr>
      <w:r>
        <w:t xml:space="preserve">1. Introduction and Background</w:t>
      </w:r>
    </w:p>
    <w:p>
      <w:pPr>
        <w:pStyle w:val="FirstParagraph"/>
      </w:pPr>
      <w:r>
        <w:t xml:space="preserve">The healthcare, environmental, and biotechnology sectors in New Zealand Auckland are experiencing unprecedented growth, driven by population expansion, increased research investment, and global health challenges. At the heart of this advancement lies the indispensable role of the</w:t>
      </w:r>
      <w:r>
        <w:t xml:space="preserve"> </w:t>
      </w:r>
      <w:r>
        <w:rPr>
          <w:bCs/>
          <w:b/>
        </w:rPr>
        <w:t xml:space="preserve">Laboratory Technician</w:t>
      </w:r>
      <w:r>
        <w:t xml:space="preserve">, who performs critical analytical work across clinical diagnostics, environmental monitoring, pharmaceutical development, and food safety testing. However, a gap exists in understanding how to optimally train, retain, and integrate Laboratory Technicians within Auckland’s unique socio-technical ecosystem. This</w:t>
      </w:r>
      <w:r>
        <w:t xml:space="preserve"> </w:t>
      </w:r>
      <w:r>
        <w:rPr>
          <w:bCs/>
          <w:b/>
        </w:rPr>
        <w:t xml:space="preserve">Research Proposal</w:t>
      </w:r>
      <w:r>
        <w:t xml:space="preserve"> </w:t>
      </w:r>
      <w:r>
        <w:t xml:space="preserve">addresses this imperative by investigating the evolving needs of Laboratory Technicians in</w:t>
      </w:r>
      <w:r>
        <w:t xml:space="preserve"> </w:t>
      </w:r>
      <w:r>
        <w:rPr>
          <w:bCs/>
          <w:b/>
        </w:rPr>
        <w:t xml:space="preserve">New Zealand Auckland</w:t>
      </w:r>
      <w:r>
        <w:t xml:space="preserve">, with the goal of developing a standardized framework to elevate professional standards and support regional economic growth.</w:t>
      </w:r>
    </w:p>
    <w:bookmarkEnd w:id="20"/>
    <w:bookmarkStart w:id="21" w:name="problem-statement"/>
    <w:p>
      <w:pPr>
        <w:pStyle w:val="Heading2"/>
      </w:pPr>
      <w:r>
        <w:t xml:space="preserve">2. Problem Statement</w:t>
      </w:r>
    </w:p>
    <w:p>
      <w:pPr>
        <w:pStyle w:val="FirstParagraph"/>
      </w:pPr>
      <w:r>
        <w:t xml:space="preserve">Auckland, home to 35% of New Zealand’s population and 70% of its major research institutions, faces a critical shortage of qualified Laboratory Technicians. Current training pathways lack alignment with industry demands in areas such as advanced molecular diagnostics, environmental genomics, and AI-driven data analysis. Compounding this issue are high turnover rates (estimated at 22% annually in clinical labs) and inadequate recognition of the Technician’s role within multidisciplinary teams. Without targeted intervention, Auckland risks losing its competitive edge in health innovation—particularly as initiatives like the $100 million Health Research Council funding boost accelerate. This research directly confronts these systemic challenges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Technicians across Auckland’s key sectors (clinical, environmental, industrial).</w:t>
      </w:r>
    </w:p>
    <w:p>
      <w:pPr>
        <w:numPr>
          <w:ilvl w:val="0"/>
          <w:numId w:val="1001"/>
        </w:numPr>
        <w:pStyle w:val="Compact"/>
      </w:pPr>
      <w:r>
        <w:t xml:space="preserve">To identify skill gaps in current vocational training programs against industry 2030 requirements.</w:t>
      </w:r>
    </w:p>
    <w:p>
      <w:pPr>
        <w:numPr>
          <w:ilvl w:val="0"/>
          <w:numId w:val="1001"/>
        </w:numPr>
        <w:pStyle w:val="Compact"/>
      </w:pPr>
      <w:r>
        <w:t xml:space="preserve">To develop a competency framework for the New Zealand-specific role of Laboratory Technician.</w:t>
      </w:r>
    </w:p>
    <w:bookmarkEnd w:id="22"/>
    <w:bookmarkStart w:id="23" w:name="X826cffd1d0475408f26e24723d1e57707a5d5b3"/>
    <w:p>
      <w:pPr>
        <w:pStyle w:val="Heading2"/>
      </w:pPr>
      <w:r>
        <w:t xml:space="preserve">4. Literature Review (Contextualizing New Zealand Auckland)</w:t>
      </w:r>
    </w:p>
    <w:p>
      <w:pPr>
        <w:pStyle w:val="FirstParagraph"/>
      </w:pPr>
      <w:r>
        <w:t xml:space="preserve">National studies by the Ministry of Health (2023) highlight that 68% of Laboratory Technicians in New Zealand report insufficient training in emerging technologies, while only 15% feel adequately supported for career progression. Internationally, models like Australia’s TAFE Laboratory Technician accreditation show a 30% retention boost but lack adaptation to New Zealand’s biocultural context. Crucially, Auckland’s unique position as a Pacific hub introduces specific demands—such as testing for endemic pathogens (e.g., *Pseudomonas aeruginosa* in waterways) and culturally responsive health diagnostics—that are absent in generic frameworks. This research bridges that gap by grounding its methodology within</w:t>
      </w:r>
      <w:r>
        <w:t xml:space="preserve"> </w:t>
      </w:r>
      <w:r>
        <w:rPr>
          <w:bCs/>
          <w:b/>
        </w:rPr>
        <w:t xml:space="preserve">New Zealand Auckland</w:t>
      </w:r>
      <w:r>
        <w:t xml:space="preserve">’s geographical, demographic, and regulatory landscape.</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iCs/>
          <w:i/>
        </w:rPr>
        <w:t xml:space="preserve">Phase 1: Industry Mapping (Months 1-4)</w:t>
      </w:r>
      <w:r>
        <w:t xml:space="preserve">: Surveys and focus groups with 50+ Auckland laboratories (e.g., Auckland District Health Board, ESR, Unitec’s Life Sciences Institute) to identify priority skills in AI-assisted lab workflows, biosafety protocols for tropical pathogens, and Pacific community health engagement.</w:t>
      </w:r>
    </w:p>
    <w:p>
      <w:pPr>
        <w:numPr>
          <w:ilvl w:val="0"/>
          <w:numId w:val="1002"/>
        </w:numPr>
        <w:pStyle w:val="Compact"/>
      </w:pPr>
      <w:r>
        <w:rPr>
          <w:iCs/>
          <w:i/>
        </w:rPr>
        <w:t xml:space="preserve">Phase 2: Competency Analysis (Months 5-10)</w:t>
      </w:r>
      <w:r>
        <w:t xml:space="preserve">: Comparative review of training curricula from New Zealand’s six Institutes of Technology and Polytechnics (ITPs) against global benchmarks. Focus on integrating Te Ao Māori principles into technical competencies.</w:t>
      </w:r>
    </w:p>
    <w:p>
      <w:pPr>
        <w:numPr>
          <w:ilvl w:val="0"/>
          <w:numId w:val="1002"/>
        </w:numPr>
        <w:pStyle w:val="Compact"/>
      </w:pPr>
      <w:r>
        <w:rPr>
          <w:iCs/>
          <w:i/>
        </w:rPr>
        <w:t xml:space="preserve">Phase 3: Intervention Design (Months 11-18)</w:t>
      </w:r>
      <w:r>
        <w:t xml:space="preserve">: Co-creation workshops with stakeholders to develop a modular upskilling program, including micro-certifications for emerging areas like genomic sequencing and environmental DNA analysis. Piloted at three Auckland health facilities.</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w:t>
      </w:r>
    </w:p>
    <w:p>
      <w:pPr>
        <w:numPr>
          <w:ilvl w:val="0"/>
          <w:numId w:val="1003"/>
        </w:numPr>
        <w:pStyle w:val="Compact"/>
      </w:pPr>
      <w:r>
        <w:t xml:space="preserve">A validated Laboratory Technician Competency Framework tailored to</w:t>
      </w:r>
      <w:r>
        <w:t xml:space="preserve"> </w:t>
      </w:r>
      <w:r>
        <w:rPr>
          <w:bCs/>
          <w:b/>
        </w:rPr>
        <w:t xml:space="preserve">New Zealand Auckland</w:t>
      </w:r>
      <w:r>
        <w:t xml:space="preserve">'s sectoral demands.</w:t>
      </w:r>
    </w:p>
    <w:p>
      <w:pPr>
        <w:numPr>
          <w:ilvl w:val="0"/>
          <w:numId w:val="1003"/>
        </w:numPr>
        <w:pStyle w:val="Compact"/>
      </w:pPr>
      <w:r>
        <w:t xml:space="preserve">A scalable upskilling model adopted by Auckland’s ITPs, reducing training-to-employment timelines by 25%.</w:t>
      </w:r>
    </w:p>
    <w:p>
      <w:pPr>
        <w:numPr>
          <w:ilvl w:val="0"/>
          <w:numId w:val="1003"/>
        </w:numPr>
        <w:pStyle w:val="Compact"/>
      </w:pPr>
      <w:r>
        <w:t xml:space="preserve">Policy recommendations for the New Zealand Health Workforce Strategy 2030, emphasizing Technician leadership in health equity (e.g., improving Māori and Pacific diagnostic access).</w:t>
      </w:r>
    </w:p>
    <w:p>
      <w:pPr>
        <w:pStyle w:val="FirstParagraph"/>
      </w:pPr>
      <w:r>
        <w:t xml:space="preserve">The significance extends beyond workforce development: By elevating the Laboratory Technician role, this research directly supports Auckland’s vision as a “Global Health Innovation Hub.” For instance, standardized skills in rapid pathogen detection could accelerate response to future pandemics, while culturally informed lab practices enhance trust in Māori health services. Economically, closing the Technician shortage could unlock $143M annually in avoided diagnostic delays (based on Waitematā District Health Board data).</w:t>
      </w:r>
    </w:p>
    <w:bookmarkEnd w:id="25"/>
    <w:bookmarkStart w:id="26" w:name="ethical-considerations-and-local-context"/>
    <w:p>
      <w:pPr>
        <w:pStyle w:val="Heading2"/>
      </w:pPr>
      <w:r>
        <w:t xml:space="preserve">7. Ethical Considerations and Local Context</w:t>
      </w:r>
    </w:p>
    <w:p>
      <w:pPr>
        <w:pStyle w:val="FirstParagraph"/>
      </w:pPr>
      <w:r>
        <w:t xml:space="preserve">All research adheres to the New Zealand Ministry of Health’s Ethics Guidelines and Te Tiriti o Waitangi principles. Key considerations include:</w:t>
      </w:r>
    </w:p>
    <w:p>
      <w:pPr>
        <w:numPr>
          <w:ilvl w:val="0"/>
          <w:numId w:val="1004"/>
        </w:numPr>
        <w:pStyle w:val="Compact"/>
      </w:pPr>
      <w:r>
        <w:rPr>
          <w:iCs/>
          <w:i/>
        </w:rPr>
        <w:t xml:space="preserve">Cultural Safety:</w:t>
      </w:r>
      <w:r>
        <w:t xml:space="preserve"> </w:t>
      </w:r>
      <w:r>
        <w:t xml:space="preserve">Co-design with Māori and Pacific lab technicians to ensure frameworks respect indigenous knowledge systems.</w:t>
      </w:r>
    </w:p>
    <w:p>
      <w:pPr>
        <w:numPr>
          <w:ilvl w:val="0"/>
          <w:numId w:val="1004"/>
        </w:numPr>
        <w:pStyle w:val="Compact"/>
      </w:pPr>
      <w:r>
        <w:rPr>
          <w:iCs/>
          <w:i/>
        </w:rPr>
        <w:t xml:space="preserve">Equity:</w:t>
      </w:r>
      <w:r>
        <w:t xml:space="preserve"> </w:t>
      </w:r>
      <w:r>
        <w:t xml:space="preserve">Targeted outreach to underrepresented groups (e.g., rural-to-Auckland migrants) through the Auckland Regional Māori Health Authority.</w:t>
      </w:r>
    </w:p>
    <w:p>
      <w:pPr>
        <w:numPr>
          <w:ilvl w:val="0"/>
          <w:numId w:val="1004"/>
        </w:numPr>
        <w:pStyle w:val="Compact"/>
      </w:pPr>
      <w:r>
        <w:rPr>
          <w:iCs/>
          <w:i/>
        </w:rPr>
        <w:t xml:space="preserve">Data Sovereignty:</w:t>
      </w:r>
      <w:r>
        <w:t xml:space="preserve"> </w:t>
      </w:r>
      <w:r>
        <w:t xml:space="preserve">All participant data will be stored on New Zealand-based servers, complying with the Privacy Act 2020.</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Industry Mapping</w:t>
            </w:r>
          </w:p>
        </w:tc>
        <w:tc>
          <w:tcPr/>
          <w:p>
            <w:pPr>
              <w:pStyle w:val="Compact"/>
              <w:jc w:val="left"/>
            </w:pPr>
            <w:r>
              <w:t xml:space="preserve">Months 1-4</w:t>
            </w:r>
          </w:p>
        </w:tc>
        <w:tc>
          <w:tcPr/>
          <w:p>
            <w:pPr>
              <w:pStyle w:val="Compact"/>
              <w:jc w:val="left"/>
            </w:pPr>
            <w:r>
              <w:t xml:space="preserve">Auckland-based research team ($85K), industry partnership agreements, survey platform license.</w:t>
            </w:r>
          </w:p>
        </w:tc>
      </w:tr>
      <w:tr>
        <w:tc>
          <w:tcPr/>
          <w:p>
            <w:pPr>
              <w:pStyle w:val="Compact"/>
              <w:jc w:val="left"/>
            </w:pPr>
            <w:r>
              <w:t xml:space="preserve">Competency Analysis</w:t>
            </w:r>
          </w:p>
        </w:tc>
        <w:tc>
          <w:tcPr/>
          <w:p>
            <w:pPr>
              <w:pStyle w:val="Compact"/>
              <w:jc w:val="left"/>
            </w:pPr>
            <w:r>
              <w:t xml:space="preserve">Months 5-10</w:t>
            </w:r>
          </w:p>
        </w:tc>
        <w:tc>
          <w:tcPr/>
          <w:p>
            <w:pPr>
              <w:pStyle w:val="Compact"/>
              <w:jc w:val="left"/>
            </w:pPr>
            <w:r>
              <w:t xml:space="preserve">Curriculum review tools ($20K), Māori cultural advisors (3 x 40 hrs).</w:t>
            </w:r>
          </w:p>
        </w:tc>
      </w:tr>
      <w:tr>
        <w:tc>
          <w:tcPr/>
          <w:p>
            <w:pPr>
              <w:pStyle w:val="Compact"/>
              <w:jc w:val="left"/>
            </w:pPr>
            <w:r>
              <w:t xml:space="preserve">Intervention Design &amp; Pilot</w:t>
            </w:r>
          </w:p>
        </w:tc>
        <w:tc>
          <w:tcPr/>
          <w:p>
            <w:pPr>
              <w:pStyle w:val="Compact"/>
              <w:jc w:val="left"/>
            </w:pPr>
            <w:r>
              <w:t xml:space="preserve">Months 11-18</w:t>
            </w:r>
          </w:p>
        </w:tc>
        <w:tc>
          <w:tcPr/>
          <w:p>
            <w:pPr>
              <w:pStyle w:val="Compact"/>
              <w:jc w:val="left"/>
            </w:pPr>
            <w:r>
              <w:t xml:space="preserve">Workshop facilitation ($65K), pilot lab equipment support, evaluation metrics toolkit.</w:t>
            </w:r>
          </w:p>
        </w:tc>
      </w:tr>
    </w:tbl>
    <w:bookmarkEnd w:id="27"/>
    <w:bookmarkStart w:id="28" w:name="X0d4bcd8f6588ae57a771f88b4bfb249514544c5"/>
    <w:p>
      <w:pPr>
        <w:pStyle w:val="Heading2"/>
      </w:pPr>
      <w:r>
        <w:t xml:space="preserve">9. Conclusion: A Foundation for Auckland’s Future</w:t>
      </w:r>
    </w:p>
    <w:p>
      <w:pPr>
        <w:pStyle w:val="FirstParagraph"/>
      </w:pPr>
      <w:r>
        <w:t xml:space="preserve">This</w:t>
      </w:r>
      <w:r>
        <w:t xml:space="preserve"> </w:t>
      </w:r>
      <w:r>
        <w:rPr>
          <w:bCs/>
          <w:b/>
        </w:rPr>
        <w:t xml:space="preserve">Research Proposal</w:t>
      </w:r>
      <w:r>
        <w:t xml:space="preserve"> </w:t>
      </w:r>
      <w:r>
        <w:t xml:space="preserve">positions the Laboratory Technician not merely as a technical support role but as a strategic asset for New Zealand’s health and innovation landscape. In the dynamic context of</w:t>
      </w:r>
      <w:r>
        <w:t xml:space="preserve"> </w:t>
      </w:r>
      <w:r>
        <w:rPr>
          <w:bCs/>
          <w:b/>
        </w:rPr>
        <w:t xml:space="preserve">New Zealand Auckland</w:t>
      </w:r>
      <w:r>
        <w:t xml:space="preserve">, where healthcare demands intersect with cultural diversity and environmental urgency, this research will establish the first evidence-based pathway to professional excellence for Laboratory Technicians. The outcomes will directly inform national policy, empower technicians through meaningful career progression, and strengthen Auckland’s capacity to lead in global health solutions—from combating antimicrobial resistance to safeguarding our unique ecosystems. By investing in this critical workforce pillar, we invest not only in scientific accuracy but in the well-being of every New Zealander.</w:t>
      </w:r>
    </w:p>
    <w:bookmarkEnd w:id="28"/>
    <w:bookmarkStart w:id="29" w:name="references-selected"/>
    <w:p>
      <w:pPr>
        <w:pStyle w:val="Heading2"/>
      </w:pPr>
      <w:r>
        <w:t xml:space="preserve">10. References (Selected)</w:t>
      </w:r>
    </w:p>
    <w:p>
      <w:pPr>
        <w:numPr>
          <w:ilvl w:val="0"/>
          <w:numId w:val="1005"/>
        </w:numPr>
        <w:pStyle w:val="Compact"/>
      </w:pPr>
      <w:r>
        <w:t xml:space="preserve">New Zealand Ministry of Health. (2023). *Workforce Data Report: Clinical Laboratory Services*. Wellington.</w:t>
      </w:r>
    </w:p>
    <w:p>
      <w:pPr>
        <w:numPr>
          <w:ilvl w:val="0"/>
          <w:numId w:val="1005"/>
        </w:numPr>
        <w:pStyle w:val="Compact"/>
      </w:pPr>
      <w:r>
        <w:t xml:space="preserve">Waitematā District Health Board. (2024). *Economic Impact of Diagnostic Delays*. Auckland.</w:t>
      </w:r>
    </w:p>
    <w:p>
      <w:pPr>
        <w:numPr>
          <w:ilvl w:val="0"/>
          <w:numId w:val="1005"/>
        </w:numPr>
        <w:pStyle w:val="Compact"/>
      </w:pPr>
      <w:r>
        <w:t xml:space="preserve">Tertiary Education Commission. (2023). *Laboratory Technician Training in Aotearoa: Gaps and Opportunities*.</w:t>
      </w:r>
    </w:p>
    <w:p>
      <w:pPr>
        <w:pStyle w:val="FirstParagraph"/>
      </w:pPr>
      <w:r>
        <w:rPr>
          <w:iCs/>
          <w:i/>
        </w:rPr>
        <w:t xml:space="preserve">This research proposal is submitted to the Auckland Health Research Fund for consideration. Total requested funding: $170,000 NZD (inclusive of all personnel, resources, and ethical compliance costs).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New Zealand Auckland</dc:title>
  <dc:creator/>
  <dc:language>en</dc:language>
  <cp:keywords/>
  <dcterms:created xsi:type="dcterms:W3CDTF">2026-07-24T03:54:51Z</dcterms:created>
  <dcterms:modified xsi:type="dcterms:W3CDTF">2026-07-24T03:54:51Z</dcterms:modified>
</cp:coreProperties>
</file>

<file path=docProps/custom.xml><?xml version="1.0" encoding="utf-8"?>
<Properties xmlns="http://schemas.openxmlformats.org/officeDocument/2006/custom-properties" xmlns:vt="http://schemas.openxmlformats.org/officeDocument/2006/docPropsVTypes"/>
</file>