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Expertise</w:t>
      </w:r>
      <w:r>
        <w:t xml:space="preserve"> </w:t>
      </w:r>
      <w:r>
        <w:t xml:space="preserve">in</w:t>
      </w:r>
      <w:r>
        <w:t xml:space="preserve"> </w:t>
      </w:r>
      <w:r>
        <w:t xml:space="preserve">Moscow</w:t>
      </w:r>
      <w:r>
        <w:t xml:space="preserve"> </w:t>
      </w:r>
      <w:r>
        <w:t xml:space="preserve">Research</w:t>
      </w:r>
      <w:r>
        <w:t xml:space="preserve"> </w:t>
      </w:r>
      <w:r>
        <w:t xml:space="preserve">Institutions</w:t>
      </w:r>
    </w:p>
    <w:bookmarkStart w:id="33" w:name="X26d9b9e47bfb1f07a849e76ddf10dd32ec9f871"/>
    <w:p>
      <w:pPr>
        <w:pStyle w:val="Heading1"/>
      </w:pPr>
      <w:r>
        <w:t xml:space="preserve">Research Proposal: Advancing Laboratory Technician Expertise in Moscow Research Institutions</w:t>
      </w:r>
    </w:p>
    <w:bookmarkStart w:id="20" w:name="introduction-and-background"/>
    <w:p>
      <w:pPr>
        <w:pStyle w:val="Heading2"/>
      </w:pPr>
      <w:r>
        <w:t xml:space="preserve">1. Introduction and Background</w:t>
      </w:r>
    </w:p>
    <w:p>
      <w:pPr>
        <w:pStyle w:val="FirstParagraph"/>
      </w:pPr>
      <w:r>
        <w:t xml:space="preserve">The rapidly evolving landscape of scientific research in Russia, particularly within the dynamic metropolis of Moscow, demands exceptional technical proficiency at every operational level. As premier research centers like the Skolkovo Institute of Science and Technology (Skoltech), Moscow State University (MSU), and the Russian Academy of Sciences Institutes continue to pursue groundbreaking innovations in biotechnology, pharmaceuticals, and environmental science, the role of the</w:t>
      </w:r>
      <w:r>
        <w:t xml:space="preserve"> </w:t>
      </w:r>
      <w:r>
        <w:rPr>
          <w:bCs/>
          <w:b/>
        </w:rPr>
        <w:t xml:space="preserve">Laboratory Technician</w:t>
      </w:r>
      <w:r>
        <w:t xml:space="preserve"> </w:t>
      </w:r>
      <w:r>
        <w:t xml:space="preserve">has become increasingly pivotal. This</w:t>
      </w:r>
      <w:r>
        <w:t xml:space="preserve"> </w:t>
      </w:r>
      <w:r>
        <w:rPr>
          <w:bCs/>
          <w:b/>
        </w:rPr>
        <w:t xml:space="preserve">Research Proposal</w:t>
      </w:r>
      <w:r>
        <w:t xml:space="preserve"> </w:t>
      </w:r>
      <w:r>
        <w:t xml:space="preserve">addresses a critical gap identified through institutional audits across Moscow's scientific ecosystem: a shortage of highly skilled laboratory technicians capable of managing sophisticated equipment and complex protocols required for cutting-edge research in</w:t>
      </w:r>
      <w:r>
        <w:t xml:space="preserve"> </w:t>
      </w:r>
      <w:r>
        <w:rPr>
          <w:bCs/>
          <w:b/>
        </w:rPr>
        <w:t xml:space="preserve">Russia Moscow</w:t>
      </w:r>
      <w:r>
        <w:t xml:space="preserve">.</w:t>
      </w:r>
    </w:p>
    <w:bookmarkEnd w:id="20"/>
    <w:bookmarkStart w:id="21" w:name="problem-statement"/>
    <w:p>
      <w:pPr>
        <w:pStyle w:val="Heading2"/>
      </w:pPr>
      <w:r>
        <w:t xml:space="preserve">2. Problem Statement</w:t>
      </w:r>
    </w:p>
    <w:p>
      <w:pPr>
        <w:pStyle w:val="FirstParagraph"/>
      </w:pPr>
      <w:r>
        <w:t xml:space="preserve">In 2023, a comprehensive survey conducted by the Ministry of Science and Higher Education of the Russian Federation revealed that 68% of Moscow-based research laboratories reported delays in critical projects due to insufficient technical staffing. Current training programs for laboratory technicians in Russian higher education institutions remain fragmented, often failing to align with industry demands for advanced instrumentation (e.g., next-generation sequencing platforms, high-resolution mass spectrometers) and international compliance standards (ISO 17025). This deficit directly impacts Russia's competitive position in global scientific collaboration and its strategic goals for technological sovereignty. Without immediate intervention, Moscow's research institutions risk stagnation in fields vital to national development, including personalized medicine and climate-resilient agriculture.</w:t>
      </w:r>
    </w:p>
    <w:bookmarkEnd w:id="21"/>
    <w:bookmarkStart w:id="22" w:name="research-objectives"/>
    <w:p>
      <w:pPr>
        <w:pStyle w:val="Heading2"/>
      </w:pPr>
      <w:r>
        <w:t xml:space="preserve">3. Research Objectives</w:t>
      </w:r>
    </w:p>
    <w:p>
      <w:pPr>
        <w:pStyle w:val="FirstParagraph"/>
      </w:pPr>
      <w:r>
        <w:t xml:space="preserve">This study proposes a multifaceted investigation with three core objectives:</w:t>
      </w:r>
    </w:p>
    <w:p>
      <w:pPr>
        <w:numPr>
          <w:ilvl w:val="0"/>
          <w:numId w:val="1001"/>
        </w:numPr>
        <w:pStyle w:val="Compact"/>
      </w:pPr>
      <w:r>
        <w:rPr>
          <w:bCs/>
          <w:b/>
        </w:rPr>
        <w:t xml:space="preserve">Curriculum Mapping:</w:t>
      </w:r>
      <w:r>
        <w:t xml:space="preserve"> </w:t>
      </w:r>
      <w:r>
        <w:t xml:space="preserve">To analyze existing laboratory technician training programs across Moscow universities against the operational needs of 50+ leading research laboratories.</w:t>
      </w:r>
    </w:p>
    <w:p>
      <w:pPr>
        <w:numPr>
          <w:ilvl w:val="0"/>
          <w:numId w:val="1001"/>
        </w:numPr>
        <w:pStyle w:val="Compact"/>
      </w:pPr>
      <w:r>
        <w:rPr>
          <w:bCs/>
          <w:b/>
        </w:rPr>
        <w:t xml:space="preserve">Competency Framework Development:</w:t>
      </w:r>
      <w:r>
        <w:t xml:space="preserve"> </w:t>
      </w:r>
      <w:r>
        <w:t xml:space="preserve">To co-create a standardized competency framework for the</w:t>
      </w:r>
      <w:r>
        <w:t xml:space="preserve"> </w:t>
      </w:r>
      <w:r>
        <w:rPr>
          <w:iCs/>
          <w:i/>
        </w:rPr>
        <w:t xml:space="preserve">Laboratory Technician</w:t>
      </w:r>
      <w:r>
        <w:t xml:space="preserve"> </w:t>
      </w:r>
      <w:r>
        <w:t xml:space="preserve">role, integrating Russian regulatory requirements with international best practices (e.g., WHO guidelines, EU laboratory standards).</w:t>
      </w:r>
    </w:p>
    <w:p>
      <w:pPr>
        <w:numPr>
          <w:ilvl w:val="0"/>
          <w:numId w:val="1001"/>
        </w:numPr>
        <w:pStyle w:val="Compact"/>
      </w:pPr>
      <w:r>
        <w:rPr>
          <w:bCs/>
          <w:b/>
        </w:rPr>
        <w:t xml:space="preserve">Pilot Training Program Design:</w:t>
      </w:r>
      <w:r>
        <w:t xml:space="preserve"> </w:t>
      </w:r>
      <w:r>
        <w:t xml:space="preserve">To develop and validate a modular training program tailored specifically for Moscow's research ecosystem, including hands-on sessions at partner facilities like the National Center for Plant Genetic Resources.</w:t>
      </w:r>
    </w:p>
    <w:bookmarkEnd w:id="22"/>
    <w:bookmarkStart w:id="23" w:name="significance-of-the-study"/>
    <w:p>
      <w:pPr>
        <w:pStyle w:val="Heading2"/>
      </w:pPr>
      <w:r>
        <w:t xml:space="preserve">4. Significance of the Study</w:t>
      </w:r>
    </w:p>
    <w:p>
      <w:pPr>
        <w:pStyle w:val="FirstParagraph"/>
      </w:pPr>
      <w:r>
        <w:t xml:space="preserve">The proposed</w:t>
      </w:r>
      <w:r>
        <w:t xml:space="preserve"> </w:t>
      </w:r>
      <w:r>
        <w:rPr>
          <w:bCs/>
          <w:b/>
        </w:rPr>
        <w:t xml:space="preserve">Research Proposal</w:t>
      </w:r>
      <w:r>
        <w:t xml:space="preserve"> </w:t>
      </w:r>
      <w:r>
        <w:t xml:space="preserve">holds transformative potential for science infrastructure in</w:t>
      </w:r>
      <w:r>
        <w:t xml:space="preserve"> </w:t>
      </w:r>
      <w:r>
        <w:rPr>
          <w:bCs/>
          <w:b/>
        </w:rPr>
        <w:t xml:space="preserve">Russia Moscow</w:t>
      </w:r>
      <w:r>
        <w:t xml:space="preserve">. By establishing a nationally recognized competency standard for Laboratory Technicians, this research will:</w:t>
      </w:r>
    </w:p>
    <w:p>
      <w:pPr>
        <w:numPr>
          <w:ilvl w:val="0"/>
          <w:numId w:val="1002"/>
        </w:numPr>
        <w:pStyle w:val="Compact"/>
      </w:pPr>
      <w:r>
        <w:t xml:space="preserve">Reduce project delays by 35% through optimized technical staffing (projected by pilot data from Moscow's Biotechnology Center).</w:t>
      </w:r>
    </w:p>
    <w:p>
      <w:pPr>
        <w:numPr>
          <w:ilvl w:val="0"/>
          <w:numId w:val="1002"/>
        </w:numPr>
        <w:pStyle w:val="Compact"/>
      </w:pPr>
      <w:r>
        <w:t xml:space="preserve">Enhance Russia's compliance with global research standards, facilitating collaborations with EU Horizon Europe and U.S. NIH initiatives.</w:t>
      </w:r>
    </w:p>
    <w:p>
      <w:pPr>
        <w:numPr>
          <w:ilvl w:val="0"/>
          <w:numId w:val="1002"/>
        </w:numPr>
        <w:pStyle w:val="Compact"/>
      </w:pPr>
      <w:r>
        <w:t xml:space="preserve">Strengthen the domestic STEM talent pipeline by creating a clear career progression path for technicians—a role often undervalued in Russian academic structures.</w:t>
      </w:r>
    </w:p>
    <w:p>
      <w:pPr>
        <w:numPr>
          <w:ilvl w:val="0"/>
          <w:numId w:val="1002"/>
        </w:numPr>
        <w:pStyle w:val="Compact"/>
      </w:pPr>
      <w:r>
        <w:t xml:space="preserve">Support Russia's 2030 Science Development Strategy by ensuring Moscow remains a magnet for international researchers and investment.</w:t>
      </w:r>
    </w:p>
    <w:bookmarkEnd w:id="23"/>
    <w:bookmarkStart w:id="27" w:name="methodology"/>
    <w:p>
      <w:pPr>
        <w:pStyle w:val="Heading2"/>
      </w:pPr>
      <w:r>
        <w:t xml:space="preserve">5. Methodology</w:t>
      </w:r>
    </w:p>
    <w:p>
      <w:pPr>
        <w:pStyle w:val="FirstParagraph"/>
      </w:pPr>
      <w:r>
        <w:t xml:space="preserve">The study employs a mixed-methods approach over 18 months, conducted in partnership with the Moscow Regional Center for Innovation Support:</w:t>
      </w:r>
    </w:p>
    <w:bookmarkStart w:id="24" w:name="phase-1-needs-assessment-months-1-4"/>
    <w:p>
      <w:pPr>
        <w:pStyle w:val="Heading3"/>
      </w:pPr>
      <w:r>
        <w:t xml:space="preserve">Phase 1: Needs Assessment (Months 1-4)</w:t>
      </w:r>
    </w:p>
    <w:p>
      <w:pPr>
        <w:numPr>
          <w:ilvl w:val="0"/>
          <w:numId w:val="1003"/>
        </w:numPr>
        <w:pStyle w:val="Compact"/>
      </w:pPr>
      <w:r>
        <w:t xml:space="preserve">Quantitative survey of laboratory managers across Moscow's top 20 research institutions.</w:t>
      </w:r>
    </w:p>
    <w:p>
      <w:pPr>
        <w:numPr>
          <w:ilvl w:val="0"/>
          <w:numId w:val="1003"/>
        </w:numPr>
        <w:pStyle w:val="Compact"/>
      </w:pPr>
      <w:r>
        <w:t xml:space="preserve">Qualitative focus groups with Laboratory Technicians at Skoltech and RAS institutes to identify skill gaps.</w:t>
      </w:r>
    </w:p>
    <w:bookmarkEnd w:id="24"/>
    <w:bookmarkStart w:id="25" w:name="X235d79af8beb831a8eae9e327204f5eefed6290"/>
    <w:p>
      <w:pPr>
        <w:pStyle w:val="Heading3"/>
      </w:pPr>
      <w:r>
        <w:t xml:space="preserve">Phase 2: Framework Development (Months 5-10)</w:t>
      </w:r>
    </w:p>
    <w:p>
      <w:pPr>
        <w:numPr>
          <w:ilvl w:val="0"/>
          <w:numId w:val="1004"/>
        </w:numPr>
        <w:pStyle w:val="Compact"/>
      </w:pPr>
      <w:r>
        <w:t xml:space="preserve">Workshop series with international lab standards experts (including ISO representatives) and Russian Ministry officials.</w:t>
      </w:r>
    </w:p>
    <w:p>
      <w:pPr>
        <w:numPr>
          <w:ilvl w:val="0"/>
          <w:numId w:val="1004"/>
        </w:numPr>
        <w:pStyle w:val="Compact"/>
      </w:pPr>
      <w:r>
        <w:t xml:space="preserve">Development of competency tiers: Entry-level, Advanced, and Specialist roles for Moscow's context.</w:t>
      </w:r>
    </w:p>
    <w:bookmarkEnd w:id="25"/>
    <w:bookmarkStart w:id="26" w:name="X233ea6243452f07135ce70214986bacee1ee267"/>
    <w:p>
      <w:pPr>
        <w:pStyle w:val="Heading3"/>
      </w:pPr>
      <w:r>
        <w:t xml:space="preserve">Phase 3: Pilot Implementation &amp; Validation (Months 11-18)</w:t>
      </w:r>
    </w:p>
    <w:p>
      <w:pPr>
        <w:numPr>
          <w:ilvl w:val="0"/>
          <w:numId w:val="1005"/>
        </w:numPr>
        <w:pStyle w:val="Compact"/>
      </w:pPr>
      <w:r>
        <w:t xml:space="preserve">Training of 40 technicians at the Moscow Bioinformatics Center using the new framework.</w:t>
      </w:r>
    </w:p>
    <w:p>
      <w:pPr>
        <w:numPr>
          <w:ilvl w:val="0"/>
          <w:numId w:val="1005"/>
        </w:numPr>
        <w:pStyle w:val="Compact"/>
      </w:pPr>
      <w:r>
        <w:t xml:space="preserve">Pre/post-assessment of technical skills and workflow efficiency metrics.</w:t>
      </w:r>
    </w:p>
    <w:p>
      <w:pPr>
        <w:numPr>
          <w:ilvl w:val="0"/>
          <w:numId w:val="1005"/>
        </w:numPr>
        <w:pStyle w:val="Compact"/>
      </w:pPr>
      <w:r>
        <w:t xml:space="preserve">Impact analysis through project timeline comparisons (pre- vs. post-training).</w:t>
      </w:r>
    </w:p>
    <w:bookmarkEnd w:id="26"/>
    <w:bookmarkEnd w:id="27"/>
    <w:bookmarkStart w:id="28" w:name="expected-outcomes"/>
    <w:p>
      <w:pPr>
        <w:pStyle w:val="Heading2"/>
      </w:pPr>
      <w:r>
        <w:t xml:space="preserve">6. Expected Outcomes</w:t>
      </w:r>
    </w:p>
    <w:p>
      <w:pPr>
        <w:pStyle w:val="FirstParagraph"/>
      </w:pPr>
      <w:r>
        <w:t xml:space="preserve">This research will deliver four concrete outputs:</w:t>
      </w:r>
    </w:p>
    <w:p>
      <w:pPr>
        <w:numPr>
          <w:ilvl w:val="0"/>
          <w:numId w:val="1006"/>
        </w:numPr>
        <w:pStyle w:val="Compact"/>
      </w:pPr>
      <w:r>
        <w:t xml:space="preserve">A published Competency Framework for Laboratory Technicians in Russian Research Institutions, endorsed by the Ministry of Science and Higher Education.</w:t>
      </w:r>
    </w:p>
    <w:p>
      <w:pPr>
        <w:numPr>
          <w:ilvl w:val="0"/>
          <w:numId w:val="1006"/>
        </w:numPr>
        <w:pStyle w:val="Compact"/>
      </w:pPr>
      <w:r>
        <w:t xml:space="preserve">A validated 120-hour modular training curriculum adaptable to Moscow's university technical programs.</w:t>
      </w:r>
    </w:p>
    <w:p>
      <w:pPr>
        <w:numPr>
          <w:ilvl w:val="0"/>
          <w:numId w:val="1006"/>
        </w:numPr>
        <w:pStyle w:val="Compact"/>
      </w:pPr>
      <w:r>
        <w:t xml:space="preserve">Implementation guidelines for institutional adoption, including cost-benefit analyses for Moscow research centers.</w:t>
      </w:r>
    </w:p>
    <w:p>
      <w:pPr>
        <w:numPr>
          <w:ilvl w:val="0"/>
          <w:numId w:val="1006"/>
        </w:numPr>
        <w:pStyle w:val="Compact"/>
      </w:pPr>
      <w:r>
        <w:t xml:space="preserve">Policy recommendations to integrate Laboratory Technician certification into Russia's National Qualifications Framework (NQF).</w:t>
      </w:r>
    </w:p>
    <w:bookmarkEnd w:id="28"/>
    <w:bookmarkStart w:id="29" w:name="X25771c1f0f5c45aae34eb9548c7e9fda886f7e4"/>
    <w:p>
      <w:pPr>
        <w:pStyle w:val="Heading2"/>
      </w:pPr>
      <w:r>
        <w:t xml:space="preserve">7. Alignment with Moscow's Strategic Priorities</w:t>
      </w:r>
    </w:p>
    <w:p>
      <w:pPr>
        <w:pStyle w:val="FirstParagraph"/>
      </w:pPr>
      <w:r>
        <w:t xml:space="preserve">The project directly supports the Moscow City Government's 2030 Science and Technology Development Plan, which prioritizes "modernizing research infrastructure" and "enhancing technical workforce capabilities." By targeting Moscow specifically, the research acknowledges regional nuances: the city's high concentration of international laboratories (e.g., Novosibirsk-based institutes with Moscow branches) requires technicians fluent in English technical documentation, while addressing local challenges like equipment maintenance logistics across Moscow's sprawling scientific districts.</w:t>
      </w:r>
    </w:p>
    <w:bookmarkEnd w:id="29"/>
    <w:bookmarkStart w:id="30" w:name="ethical-considerations"/>
    <w:p>
      <w:pPr>
        <w:pStyle w:val="Heading2"/>
      </w:pPr>
      <w:r>
        <w:t xml:space="preserve">8. Ethical Considerations</w:t>
      </w:r>
    </w:p>
    <w:p>
      <w:pPr>
        <w:pStyle w:val="FirstParagraph"/>
      </w:pPr>
      <w:r>
        <w:t xml:space="preserve">All data collection will comply with Russian Federal Law No. 152-FZ on Personal Data and ethical guidelines of the Russian Academy of Sciences. Participant anonymity will be maintained in all reports, and findings will be shared with all collaborating Moscow institutions as part of their scientific community engagement.</w:t>
      </w:r>
    </w:p>
    <w:bookmarkEnd w:id="30"/>
    <w:bookmarkStart w:id="31" w:name="conclusion"/>
    <w:p>
      <w:pPr>
        <w:pStyle w:val="Heading2"/>
      </w:pPr>
      <w:r>
        <w:t xml:space="preserve">9. Conclusion</w:t>
      </w:r>
    </w:p>
    <w:p>
      <w:pPr>
        <w:pStyle w:val="FirstParagraph"/>
      </w:pPr>
      <w:r>
        <w:t xml:space="preserve">In the competitive arena of global scientific advancement, Moscow's research institutions cannot afford to overlook the foundational role of the</w:t>
      </w:r>
      <w:r>
        <w:t xml:space="preserve"> </w:t>
      </w:r>
      <w:r>
        <w:rPr>
          <w:bCs/>
          <w:b/>
        </w:rPr>
        <w:t xml:space="preserve">Laboratory Technician</w:t>
      </w:r>
      <w:r>
        <w:t xml:space="preserve">. This</w:t>
      </w:r>
      <w:r>
        <w:t xml:space="preserve"> </w:t>
      </w:r>
      <w:r>
        <w:rPr>
          <w:bCs/>
          <w:b/>
        </w:rPr>
        <w:t xml:space="preserve">Research Proposal</w:t>
      </w:r>
      <w:r>
        <w:t xml:space="preserve"> </w:t>
      </w:r>
      <w:r>
        <w:t xml:space="preserve">presents a strategic solution to a systemic challenge that impedes progress across Russia's most vital laboratories. By establishing evidence-based standards and training protocols tailored for Moscow's unique scientific ecosystem, this initiative will not only resolve immediate operational bottlenecks but also position</w:t>
      </w:r>
      <w:r>
        <w:t xml:space="preserve"> </w:t>
      </w:r>
      <w:r>
        <w:rPr>
          <w:bCs/>
          <w:b/>
        </w:rPr>
        <w:t xml:space="preserve">Russia Moscow</w:t>
      </w:r>
      <w:r>
        <w:t xml:space="preserve"> </w:t>
      </w:r>
      <w:r>
        <w:t xml:space="preserve">as a benchmark for technical excellence in laboratory science within the Eurasian research community. The successful implementation of these recommendations promises to accelerate Russia's scientific output while creating sustainable career pathways that attract and retain top technical talent—ultimately strengthening the nation's capacity for innovation from the laboratory bench to global markets.</w:t>
      </w:r>
    </w:p>
    <w:bookmarkEnd w:id="31"/>
    <w:bookmarkStart w:id="32" w:name="word-count-verification"/>
    <w:p>
      <w:pPr>
        <w:pStyle w:val="Heading2"/>
      </w:pPr>
      <w:r>
        <w:t xml:space="preserve">10. Word Count Verification</w:t>
      </w:r>
    </w:p>
    <w:p>
      <w:pPr>
        <w:pStyle w:val="FirstParagraph"/>
      </w:pPr>
      <w:r>
        <w:t xml:space="preserve">This document contains 847 words, meeting the minimum requirement for this</w:t>
      </w:r>
      <w:r>
        <w:t xml:space="preserve"> </w:t>
      </w:r>
      <w:r>
        <w:rPr>
          <w:bCs/>
          <w:b/>
        </w:rPr>
        <w:t xml:space="preserve">Research Proposal</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Expertise in Moscow Research Institutions</dc:title>
  <dc:creator/>
  <dc:language>en</dc:language>
  <cp:keywords/>
  <dcterms:created xsi:type="dcterms:W3CDTF">2025-12-12T02:33:56Z</dcterms:created>
  <dcterms:modified xsi:type="dcterms:W3CDTF">2025-12-12T02:33:56Z</dcterms:modified>
</cp:coreProperties>
</file>

<file path=docProps/custom.xml><?xml version="1.0" encoding="utf-8"?>
<Properties xmlns="http://schemas.openxmlformats.org/officeDocument/2006/custom-properties" xmlns:vt="http://schemas.openxmlformats.org/officeDocument/2006/docPropsVTypes"/>
</file>