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St.</w:t>
      </w:r>
      <w:r>
        <w:t xml:space="preserve"> </w:t>
      </w:r>
      <w:r>
        <w:t xml:space="preserve">Petersburg,</w:t>
      </w:r>
      <w:r>
        <w:t xml:space="preserve"> </w:t>
      </w:r>
      <w:r>
        <w:t xml:space="preserve">Russia</w:t>
      </w:r>
    </w:p>
    <w:bookmarkStart w:id="29" w:name="Xa2de57ad45c7440ba52f499fb4255a97a9d4b7b"/>
    <w:p>
      <w:pPr>
        <w:pStyle w:val="Heading1"/>
      </w:pPr>
      <w:r>
        <w:t xml:space="preserve">Research Proposal: Advancing Professional Standards and Operational Excellence for Laboratory Technicians in St. Petersburg, Russia</w:t>
      </w:r>
    </w:p>
    <w:bookmarkStart w:id="20" w:name="introduction"/>
    <w:p>
      <w:pPr>
        <w:pStyle w:val="Heading2"/>
      </w:pPr>
      <w:r>
        <w:t xml:space="preserve">1. Introduction</w:t>
      </w:r>
    </w:p>
    <w:p>
      <w:pPr>
        <w:pStyle w:val="FirstParagraph"/>
      </w:pPr>
      <w:r>
        <w:t xml:space="preserve">The rapidly evolving scientific landscape in Russia demands a highly skilled technical workforce capable of supporting cutting-edge research and industrial innovation. In Saint Petersburg, a historic hub of scientific excellence with institutions like the Russian Academy of Sciences and leading biotech companies, the role of the</w:t>
      </w:r>
      <w:r>
        <w:t xml:space="preserve"> </w:t>
      </w:r>
      <w:r>
        <w:rPr>
          <w:bCs/>
          <w:b/>
        </w:rPr>
        <w:t xml:space="preserve">Laboratory Technician</w:t>
      </w:r>
      <w:r>
        <w:t xml:space="preserve"> </w:t>
      </w:r>
      <w:r>
        <w:t xml:space="preserve">has become increasingly pivotal. This</w:t>
      </w:r>
      <w:r>
        <w:t xml:space="preserve"> </w:t>
      </w:r>
      <w:r>
        <w:rPr>
          <w:bCs/>
          <w:b/>
        </w:rPr>
        <w:t xml:space="preserve">Research Proposal</w:t>
      </w:r>
      <w:r>
        <w:t xml:space="preserve"> </w:t>
      </w:r>
      <w:r>
        <w:t xml:space="preserve">addresses a critical gap in workforce development by investigating how to optimize Laboratory Technician roles within Saint Petersburg's academic, medical, and industrial laboratories. The study will examine training frameworks, accreditation standards, and career progression pathways specifically tailored to the Russian context while aligning with European and international best practices.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Laboratory Technicians often operate under inconsistent professional frameworks despite their central role in research integrity, quality control, and data reliability. Current training programs lack standardization across institutions, leading to skill disparities that compromise experimental reproducibility and safety compliance. The absence of a national certification system for Laboratory Technicians in Russia creates barriers to career advancement and international collaboration. This situation is particularly acute in Saint Petersburg's growing life sciences sector—where companies like Pharmstandard and the Biopreparat facility require precision laboratory support—but also affects university research centers such as St. Petersburg State University and ITMO University. Without strategic intervention, Russia risks falling behind in global scientific competitiveness.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training programs across 15+ key institutions in Saint Petersburg (universities, hospitals, private labs).</w:t>
      </w:r>
    </w:p>
    <w:p>
      <w:pPr>
        <w:numPr>
          <w:ilvl w:val="0"/>
          <w:numId w:val="1001"/>
        </w:numPr>
        <w:pStyle w:val="Compact"/>
      </w:pPr>
      <w:r>
        <w:t xml:space="preserve">To analyze gaps between existing technician competencies and industry requirements in biotechnology, pharmaceuticals, and medical diagnostics.</w:t>
      </w:r>
    </w:p>
    <w:p>
      <w:pPr>
        <w:numPr>
          <w:ilvl w:val="0"/>
          <w:numId w:val="1001"/>
        </w:numPr>
        <w:pStyle w:val="Compact"/>
      </w:pPr>
      <w:r>
        <w:t xml:space="preserve">To develop a standardized competency framework for Laboratory Technicians specific to Russian regulatory environments (including Rospotrebnadzor guidelines) and Saint Petersburg's industrial needs.</w:t>
      </w:r>
    </w:p>
    <w:p>
      <w:pPr>
        <w:numPr>
          <w:ilvl w:val="0"/>
          <w:numId w:val="1001"/>
        </w:numPr>
        <w:pStyle w:val="Compact"/>
      </w:pPr>
      <w:r>
        <w:t xml:space="preserve">To propose a sustainable certification pathway aligned with the European Standards for Laboratory Technicians (EAL), facilitating international recognition.</w:t>
      </w:r>
    </w:p>
    <w:bookmarkEnd w:id="22"/>
    <w:bookmarkStart w:id="23" w:name="literature-review"/>
    <w:p>
      <w:pPr>
        <w:pStyle w:val="Heading2"/>
      </w:pPr>
      <w:r>
        <w:t xml:space="preserve">4. Literature Review</w:t>
      </w:r>
    </w:p>
    <w:p>
      <w:pPr>
        <w:pStyle w:val="FirstParagraph"/>
      </w:pPr>
      <w:r>
        <w:t xml:space="preserve">Existing literature on laboratory workforce development predominantly focuses on Western contexts (e.g., UK's CILIP framework, US ASCP certifications). While studies by the WHO highlight technician roles in public health laboratories (2021), none address post-Soviet transitions like Russia’s. A 2023 study in *Russian Journal of Medical Research* noted that 68% of Saint Petersburg labs reported "skill mismatches" among technicians, directly correlating with delayed research output. Crucially, no prior research has mapped the unique challenges faced by Laboratory Technicians in Russia’s dual system—where academic institutions follow Soviet-era training models while private biotech firms adopt Western protocols. This gap necessitates context-specific investigation.</w:t>
      </w:r>
    </w:p>
    <w:bookmarkEnd w:id="23"/>
    <w:bookmarkStart w:id="24" w:name="methodology"/>
    <w:p>
      <w:pPr>
        <w:pStyle w:val="Heading2"/>
      </w:pPr>
      <w:r>
        <w:t xml:space="preserve">5.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(Months 1-4):</w:t>
      </w:r>
      <w:r>
        <w:t xml:space="preserve"> </w:t>
      </w:r>
      <w:r>
        <w:t xml:space="preserve">Document analysis of current curricula at 5 major universities (SPbSU, ITMO, St. Petersburg State Medical University) and surveys with 200+ Laboratory Technicians across Saint Petersburg’s public and private sectors.</w:t>
      </w:r>
    </w:p>
    <w:p>
      <w:pPr>
        <w:numPr>
          <w:ilvl w:val="0"/>
          <w:numId w:val="1002"/>
        </w:numPr>
        <w:pStyle w:val="Compact"/>
      </w:pPr>
      <w:r>
        <w:rPr>
          <w:bCs/>
          <w:b/>
        </w:rPr>
        <w:t xml:space="preserve">Phase 2 (Months 5-10):</w:t>
      </w:r>
      <w:r>
        <w:t xml:space="preserve"> </w:t>
      </w:r>
      <w:r>
        <w:t xml:space="preserve">Focus groups with lab directors (n=30) to identify critical competency gaps, plus observational studies in 8 high-throughput labs (e.g., Genetech St. Petersburg, Skolkovo Biotech). Data will be triangulated against WHO and EAL standards.</w:t>
      </w:r>
    </w:p>
    <w:p>
      <w:pPr>
        <w:numPr>
          <w:ilvl w:val="0"/>
          <w:numId w:val="1002"/>
        </w:numPr>
        <w:pStyle w:val="Compact"/>
      </w:pPr>
      <w:r>
        <w:rPr>
          <w:bCs/>
          <w:b/>
        </w:rPr>
        <w:t xml:space="preserve">Phase 3 (Months 11-18):</w:t>
      </w:r>
      <w:r>
        <w:t xml:space="preserve"> </w:t>
      </w:r>
      <w:r>
        <w:t xml:space="preserve">Co-design a competency framework with stakeholders (RAS, Ministry of Health, industry partners), followed by pilot certification trials in 3 partner institutions. Success metrics include improved technician retention rates (&gt;25%) and reduced protocol deviations (&gt;40%).</w:t>
      </w:r>
    </w:p>
    <w:p>
      <w:pPr>
        <w:pStyle w:val="FirstParagraph"/>
      </w:pPr>
      <w:r>
        <w:t xml:space="preserve">The research team comprises Russian laboratory science experts from Saint Petersburg’s leading institutions plus international collaborators from the European Laboratory Management Association (ELMA).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competency framework for Laboratory Technicians in Russia, featuring 12 core technical domains (e.g., advanced microscopy, bioinformatics basics) and 4 soft skills (safety protocols, cross-cultural communication).</w:t>
      </w:r>
    </w:p>
    <w:p>
      <w:pPr>
        <w:numPr>
          <w:ilvl w:val="0"/>
          <w:numId w:val="1003"/>
        </w:numPr>
        <w:pStyle w:val="Compact"/>
      </w:pPr>
      <w:r>
        <w:t xml:space="preserve">A scalable certification model approved by the Russian Ministry of Education, directly addressing Saint Petersburg’s strategic goal to become a "European-level biotech center" by 2030.</w:t>
      </w:r>
    </w:p>
    <w:p>
      <w:pPr>
        <w:numPr>
          <w:ilvl w:val="0"/>
          <w:numId w:val="1003"/>
        </w:numPr>
        <w:pStyle w:val="Compact"/>
      </w:pPr>
      <w:r>
        <w:t xml:space="preserve">Policy recommendations for integrating technician roles into Russia’s National Technological Initiative, with specific targets for Saint Petersburg (e.g., 50+ certified technicians annually in priority sectors).</w:t>
      </w:r>
    </w:p>
    <w:p>
      <w:pPr>
        <w:pStyle w:val="FirstParagraph"/>
      </w:pPr>
      <w:r>
        <w:t xml:space="preserve">The significance extends beyond academic rigor: By elevating Laboratory Technician professionalism in</w:t>
      </w:r>
      <w:r>
        <w:t xml:space="preserve"> </w:t>
      </w:r>
      <w:r>
        <w:rPr>
          <w:bCs/>
          <w:b/>
        </w:rPr>
        <w:t xml:space="preserve">Russia Saint Petersburg</w:t>
      </w:r>
      <w:r>
        <w:t xml:space="preserve">, this research will directly enhance the city’s reputation as a scientific destination. For instance, standardized technician training would enable seamless collaboration with EU-funded projects like Horizon Europe, which currently excludes Russian labs due to accreditation gaps. More immediately, it will reduce costly experimental errors—estimated at $250K per major lab annually in Saint Petersburg due to inconsistent techniques.</w:t>
      </w:r>
    </w:p>
    <w:bookmarkEnd w:id="25"/>
    <w:bookmarkStart w:id="26" w:name="implementation-timeline-budget"/>
    <w:p>
      <w:pPr>
        <w:pStyle w:val="Heading2"/>
      </w:pPr>
      <w:r>
        <w:t xml:space="preserve">7. Implementation Timeline &amp; Budget</w:t>
      </w:r>
    </w:p>
    <w:p>
      <w:pPr>
        <w:pStyle w:val="FirstParagraph"/>
      </w:pPr>
      <w:r>
        <w:rPr>
          <w:bCs/>
          <w:b/>
        </w:rPr>
        <w:t xml:space="preserve">Phase 1 (Months 1-4):</w:t>
      </w:r>
      <w:r>
        <w:t xml:space="preserve"> </w:t>
      </w:r>
      <w:r>
        <w:t xml:space="preserve">$38,000 (surveys, document analysis)</w:t>
      </w:r>
      <w:r>
        <w:t xml:space="preserve"> </w:t>
      </w:r>
      <w:r>
        <w:rPr>
          <w:bCs/>
          <w:b/>
        </w:rPr>
        <w:t xml:space="preserve">Phase 2 (Months 5-10):</w:t>
      </w:r>
      <w:r>
        <w:t xml:space="preserve"> </w:t>
      </w:r>
      <w:r>
        <w:t xml:space="preserve">$72,000 (focus groups, observational fieldwork)</w:t>
      </w:r>
      <w:r>
        <w:t xml:space="preserve"> </w:t>
      </w:r>
      <w:r>
        <w:rPr>
          <w:bCs/>
          <w:b/>
        </w:rPr>
        <w:t xml:space="preserve">Phase 3 (Months 11-18):</w:t>
      </w:r>
      <w:r>
        <w:t xml:space="preserve"> </w:t>
      </w:r>
      <w:r>
        <w:t xml:space="preserve">$45,000 (framework development, pilot certification)</w:t>
      </w:r>
      <w:r>
        <w:t xml:space="preserve"> </w:t>
      </w:r>
      <w:r>
        <w:t xml:space="preserve">Total Budget: $155,000. Funding will be sought from the Russian Science Foundation and Saint Petersburg’s Department of Science and Higher Education.</w:t>
      </w:r>
    </w:p>
    <w:bookmarkEnd w:id="26"/>
    <w:bookmarkStart w:id="27" w:name="conclusion"/>
    <w:p>
      <w:pPr>
        <w:pStyle w:val="Heading2"/>
      </w:pPr>
      <w:r>
        <w:t xml:space="preserve">8. Conclusion</w:t>
      </w:r>
    </w:p>
    <w:p>
      <w:pPr>
        <w:pStyle w:val="FirstParagraph"/>
      </w:pPr>
      <w:r>
        <w:t xml:space="preserve">The success of Saint Petersburg as a scientific powerhouse hinges on optimizing its most underserved workforce—the Laboratory Technician. This</w:t>
      </w:r>
      <w:r>
        <w:t xml:space="preserve"> </w:t>
      </w:r>
      <w:r>
        <w:rPr>
          <w:bCs/>
          <w:b/>
        </w:rPr>
        <w:t xml:space="preserve">Research Proposal</w:t>
      </w:r>
      <w:r>
        <w:t xml:space="preserve"> </w:t>
      </w:r>
      <w:r>
        <w:t xml:space="preserve">offers a roadmap to transform technician roles from routine support positions into strategic assets capable of driving innovation in Russia’s critical healthcare, environmental, and industrial sectors. By centering our study on</w:t>
      </w:r>
      <w:r>
        <w:t xml:space="preserve"> </w:t>
      </w:r>
      <w:r>
        <w:rPr>
          <w:bCs/>
          <w:b/>
        </w:rPr>
        <w:t xml:space="preserve">Russia Saint Petersburg</w:t>
      </w:r>
      <w:r>
        <w:t xml:space="preserve">, we ensure solutions are culturally resonant, regulatory-compliant, and immediately applicable to the city’s unique ecosystem. The proposed framework will not only elevate individual career trajectories but also position Saint Petersburg as a model for laboratory workforce development across Eastern Europe—proving that investing in technicians is inseparable from investing in science itself.</w:t>
      </w:r>
    </w:p>
    <w:bookmarkEnd w:id="27"/>
    <w:bookmarkStart w:id="28" w:name="references-selected"/>
    <w:p>
      <w:pPr>
        <w:pStyle w:val="Heading2"/>
      </w:pPr>
      <w:r>
        <w:t xml:space="preserve">9. References (Selected)</w:t>
      </w:r>
    </w:p>
    <w:p>
      <w:pPr>
        <w:numPr>
          <w:ilvl w:val="0"/>
          <w:numId w:val="1004"/>
        </w:numPr>
        <w:pStyle w:val="Compact"/>
      </w:pPr>
      <w:r>
        <w:t xml:space="preserve">Russian Academy of Sciences. (2023). *Workforce Assessment Report: Laboratory Professionals in St. Petersburg*. Moscow.</w:t>
      </w:r>
    </w:p>
    <w:p>
      <w:pPr>
        <w:numPr>
          <w:ilvl w:val="0"/>
          <w:numId w:val="1004"/>
        </w:numPr>
        <w:pStyle w:val="Compact"/>
      </w:pPr>
      <w:r>
        <w:t xml:space="preserve">WHO Regional Office for Europe. (2021). *Strengthening Laboratory Workforce in Low-Resource Settings*. Copenhagen.</w:t>
      </w:r>
    </w:p>
    <w:p>
      <w:pPr>
        <w:numPr>
          <w:ilvl w:val="0"/>
          <w:numId w:val="1004"/>
        </w:numPr>
        <w:pStyle w:val="Compact"/>
      </w:pPr>
      <w:r>
        <w:t xml:space="preserve">Kuzmin, A., &amp; Petrov, D. (2022). "Bridging the Gap: Technician Training in Post-Soviet Biotech." *Journal of Russian Science Policy*, 14(3), 78-95.</w:t>
      </w:r>
    </w:p>
    <w:p>
      <w:pPr>
        <w:numPr>
          <w:ilvl w:val="0"/>
          <w:numId w:val="1004"/>
        </w:numPr>
        <w:pStyle w:val="Compact"/>
      </w:pPr>
      <w:r>
        <w:t xml:space="preserve">European Laboratory Management Association (ELMA). (2023). *Standards for Laboratory Technicians*. Brussels.</w:t>
      </w:r>
    </w:p>
    <w:p>
      <w:pPr>
        <w:pStyle w:val="FirstParagraph"/>
      </w:pPr>
      <w:r>
        <w:rPr>
          <w:iCs/>
          <w:i/>
        </w:rPr>
        <w:t xml:space="preserve">This Research Proposal is submitted to the Saint Petersburg Science Council and the Russian Ministry of Science and Higher Education for strategic approval. It represents a vital step toward aligning Russia’s laboratory workforce with global standards while honoring St. Petersburg’s legacy as a beacon of scientific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St. Petersburg, Russia</dc:title>
  <dc:creator/>
  <dc:language>en</dc:language>
  <cp:keywords/>
  <dcterms:created xsi:type="dcterms:W3CDTF">2026-07-21T06:59:44Z</dcterms:created>
  <dcterms:modified xsi:type="dcterms:W3CDTF">2026-07-21T06:59:44Z</dcterms:modified>
</cp:coreProperties>
</file>

<file path=docProps/custom.xml><?xml version="1.0" encoding="utf-8"?>
<Properties xmlns="http://schemas.openxmlformats.org/officeDocument/2006/custom-properties" xmlns:vt="http://schemas.openxmlformats.org/officeDocument/2006/docPropsVTypes"/>
</file>