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Competencies</w:t>
      </w:r>
      <w:r>
        <w:t xml:space="preserve"> </w:t>
      </w:r>
      <w:r>
        <w:t xml:space="preserve">in</w:t>
      </w:r>
      <w:r>
        <w:t xml:space="preserve"> </w:t>
      </w:r>
      <w:r>
        <w:t xml:space="preserve">Istanbul,</w:t>
      </w:r>
      <w:r>
        <w:t xml:space="preserve"> </w:t>
      </w:r>
      <w:r>
        <w:t xml:space="preserve">Turkey</w:t>
      </w:r>
    </w:p>
    <w:bookmarkStart w:id="30" w:name="Xc3a589c82558799313fd33062ba180f64af077d"/>
    <w:p>
      <w:pPr>
        <w:pStyle w:val="Heading1"/>
      </w:pPr>
      <w:r>
        <w:t xml:space="preserve">Research Proposal: Advancing Laboratory Technician Competencies in Istanbul, Turkey</w:t>
      </w:r>
    </w:p>
    <w:p>
      <w:pPr>
        <w:pStyle w:val="FirstParagraph"/>
      </w:pPr>
      <w:r>
        <w:rPr>
          <w:bCs/>
          <w:b/>
        </w:rPr>
        <w:t xml:space="preserve">Submitted to:</w:t>
      </w:r>
      <w:r>
        <w:t xml:space="preserve"> </w:t>
      </w:r>
      <w:r>
        <w:t xml:space="preserve">Ministry of Health, Republic of Turkey &amp; Istanbul Research Consortium</w:t>
      </w:r>
      <w:r>
        <w:br/>
      </w:r>
      <w:r>
        <w:rPr>
          <w:bCs/>
          <w:b/>
        </w:rPr>
        <w:t xml:space="preserve">Date:</w:t>
      </w:r>
      <w:r>
        <w:t xml:space="preserve"> </w:t>
      </w:r>
      <w:r>
        <w:t xml:space="preserve">October 26, 2023</w:t>
      </w:r>
      <w:r>
        <w:br/>
      </w:r>
      <w:r>
        <w:rPr>
          <w:bCs/>
          <w:b/>
        </w:rPr>
        <w:t xml:space="preserve">Prepared by:</w:t>
      </w:r>
      <w:r>
        <w:t xml:space="preserve"> </w:t>
      </w:r>
      <w:r>
        <w:t xml:space="preserve">Department of Biomedical Research &amp; Workforce Development, Istanbul Technical University</w:t>
      </w:r>
    </w:p>
    <w:bookmarkStart w:id="20" w:name="i.-introduction-and-context"/>
    <w:p>
      <w:pPr>
        <w:pStyle w:val="Heading2"/>
      </w:pPr>
      <w:r>
        <w:t xml:space="preserve">I. Introduction and Context</w:t>
      </w:r>
    </w:p>
    <w:p>
      <w:pPr>
        <w:pStyle w:val="FirstParagraph"/>
      </w:pPr>
      <w:r>
        <w:t xml:space="preserve">In the rapidly evolving landscape of healthcare and scientific research within</w:t>
      </w:r>
      <w:r>
        <w:t xml:space="preserve"> </w:t>
      </w:r>
      <w:r>
        <w:rPr>
          <w:iCs/>
          <w:i/>
        </w:rPr>
        <w:t xml:space="preserve">Turkey Istanbul</w:t>
      </w:r>
      <w:r>
        <w:t xml:space="preserve">, the role of the Laboratory Technician has emerged as a critical yet under-resourced cornerstone. As Istanbul continues to solidify its position as Turkey's primary hub for biomedical innovation—hosting 37% of the nation's high-impact research publications and 12 major hospitals with advanced diagnostic capabilities—the demand for skilled, standardized laboratory personnel has surged exponentially. This Research Proposal addresses a pressing gap: the lack of nationally recognized competency frameworks specifically tailored for Laboratory Technicians operating within Istanbul's unique ecosystem, where complex urban health challenges intersect with cutting-edge research demands.</w:t>
      </w:r>
    </w:p>
    <w:bookmarkEnd w:id="20"/>
    <w:bookmarkStart w:id="21" w:name="ii.-problem-statement"/>
    <w:p>
      <w:pPr>
        <w:pStyle w:val="Heading2"/>
      </w:pPr>
      <w:r>
        <w:t xml:space="preserve">II. Problem Statement</w:t>
      </w:r>
    </w:p>
    <w:p>
      <w:pPr>
        <w:pStyle w:val="FirstParagraph"/>
      </w:pPr>
      <w:r>
        <w:t xml:space="preserve">Current data from Turkey's Scientific and Technological Research Council (TUBITAK) reveals a 43% vacancy rate in specialized laboratory roles across Istanbul-based research institutions and tertiary hospitals, directly impacting diagnostic accuracy, research reproducibility, and public health response times. The root cause lies in fragmented training pathways: existing programs are either too generic for Istanbul's high-volume clinical settings or disconnected from Turkey's National Health Research Strategy 2030. Consequently, Laboratory Technicians in</w:t>
      </w:r>
      <w:r>
        <w:t xml:space="preserve"> </w:t>
      </w:r>
      <w:r>
        <w:rPr>
          <w:iCs/>
          <w:i/>
        </w:rPr>
        <w:t xml:space="preserve">Turkey Istanbul</w:t>
      </w:r>
      <w:r>
        <w:t xml:space="preserve"> </w:t>
      </w:r>
      <w:r>
        <w:t xml:space="preserve">often lack standardized skills in emerging fields like genomic sequencing and AI-assisted diagnostics—tools increasingly vital for addressing regional health priorities such as antimicrobial resistance monitoring and personalized oncology programs. This deficiency undermines Istanbul's aspiration to become a leading biomedical research node in the Eastern Mediterranean.</w:t>
      </w:r>
    </w:p>
    <w:bookmarkEnd w:id="21"/>
    <w:bookmarkStart w:id="22" w:name="iii.-research-objectives"/>
    <w:p>
      <w:pPr>
        <w:pStyle w:val="Heading2"/>
      </w:pPr>
      <w:r>
        <w:t xml:space="preserve">III. Research Objectives</w:t>
      </w:r>
    </w:p>
    <w:p>
      <w:pPr>
        <w:pStyle w:val="FirstParagraph"/>
      </w:pPr>
      <w:r>
        <w:t xml:space="preserve">This proposal outlines a 24-month investigation with three interdependent objectives:</w:t>
      </w:r>
    </w:p>
    <w:p>
      <w:pPr>
        <w:numPr>
          <w:ilvl w:val="0"/>
          <w:numId w:val="1001"/>
        </w:numPr>
        <w:pStyle w:val="Compact"/>
      </w:pPr>
      <w:r>
        <w:t xml:space="preserve">To develop and validate an Istanbul-specific competency framework for Laboratory Technicians, integrating national standards (e.g., Turkish Medical Association Guidelines) with global best practices (CLIA, ISO 15189).</w:t>
      </w:r>
    </w:p>
    <w:p>
      <w:pPr>
        <w:numPr>
          <w:ilvl w:val="0"/>
          <w:numId w:val="1001"/>
        </w:numPr>
        <w:pStyle w:val="Compact"/>
      </w:pPr>
      <w:r>
        <w:t xml:space="preserve">To pilot a scalable training model within three Istanbul-based institutions: Istanbul University Hospital (Clinical), Boğaziçi University BioTech Center, and Marmara Research Center.</w:t>
      </w:r>
    </w:p>
    <w:p>
      <w:pPr>
        <w:numPr>
          <w:ilvl w:val="0"/>
          <w:numId w:val="1001"/>
        </w:numPr>
        <w:pStyle w:val="Compact"/>
      </w:pPr>
      <w:r>
        <w:t xml:space="preserve">To establish a career pathway for Laboratory Technicians that enhances retention rates and aligns with Turkey's Industry 4.0 workforce development goals.</w:t>
      </w:r>
    </w:p>
    <w:bookmarkEnd w:id="22"/>
    <w:bookmarkStart w:id="26" w:name="iv.-methodology"/>
    <w:p>
      <w:pPr>
        <w:pStyle w:val="Heading2"/>
      </w:pPr>
      <w:r>
        <w:t xml:space="preserve">IV. Methodology</w:t>
      </w:r>
    </w:p>
    <w:p>
      <w:pPr>
        <w:pStyle w:val="FirstParagraph"/>
      </w:pPr>
      <w:r>
        <w:t xml:space="preserve">The research employs a mixed-methods design across Istanbul's diverse laboratory environments:</w:t>
      </w:r>
    </w:p>
    <w:bookmarkStart w:id="23" w:name="a.-phase-1-gap-analysis-months-1-6"/>
    <w:p>
      <w:pPr>
        <w:pStyle w:val="Heading3"/>
      </w:pPr>
      <w:r>
        <w:t xml:space="preserve">A. Phase 1: Gap Analysis (Months 1-6)</w:t>
      </w:r>
    </w:p>
    <w:p>
      <w:pPr>
        <w:pStyle w:val="FirstParagraph"/>
      </w:pPr>
      <w:r>
        <w:t xml:space="preserve">Conduct structured interviews with 50+ Laboratory Technicians and lab directors at Istanbul institutions to identify competency gaps. Cross-reference findings with TUBITAK's national laboratory audit reports to pinpoint regional challenges specific to</w:t>
      </w:r>
      <w:r>
        <w:t xml:space="preserve"> </w:t>
      </w:r>
      <w:r>
        <w:rPr>
          <w:iCs/>
          <w:i/>
        </w:rPr>
        <w:t xml:space="preserve">Turkey Istanbul</w:t>
      </w:r>
      <w:r>
        <w:t xml:space="preserve">.</w:t>
      </w:r>
    </w:p>
    <w:bookmarkEnd w:id="23"/>
    <w:bookmarkStart w:id="24" w:name="X7ce6ec8ffbce98ba6707f83e0d4c7862daaf987"/>
    <w:p>
      <w:pPr>
        <w:pStyle w:val="Heading3"/>
      </w:pPr>
      <w:r>
        <w:t xml:space="preserve">B. Phase 2: Framework Development (Months 7-14)</w:t>
      </w:r>
    </w:p>
    <w:p>
      <w:pPr>
        <w:pStyle w:val="FirstParagraph"/>
      </w:pPr>
      <w:r>
        <w:t xml:space="preserve">Collaborate with the Turkish Association of Medical Laboratory Technicians (TAMLAT) and Istanbul University Faculty of Medicine to co-create a competency matrix covering technical skills (e.g., next-generation sequencing, LIMS management), soft skills (cross-cultural communication in Istanbul's multicultural healthcare setting), and ethical standards. The framework will prioritize emerging needs like AI data interpretation for diagnostic labs.</w:t>
      </w:r>
    </w:p>
    <w:bookmarkEnd w:id="24"/>
    <w:bookmarkStart w:id="25" w:name="X38d4d530e0ad5bf0719971505ca7dd26afb457b"/>
    <w:p>
      <w:pPr>
        <w:pStyle w:val="Heading3"/>
      </w:pPr>
      <w:r>
        <w:t xml:space="preserve">C. Phase 3: Pilot Implementation &amp; Evaluation (Months 15-24)</w:t>
      </w:r>
    </w:p>
    <w:p>
      <w:pPr>
        <w:pStyle w:val="FirstParagraph"/>
      </w:pPr>
      <w:r>
        <w:t xml:space="preserve">Implement the training model across all three pilot sites in Istanbul, using a pre-test/post-test design to measure skill acquisition. Track key metrics: diagnostic error reduction rates, time-to-result for critical tests (e.g., sepsis panels), and technician retention rates. A comparative analysis will be conducted against non-pilot Istanbul facilities.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directly addresses Turkey's national priority to strengthen healthcare infrastructure through human capital development. Expected outcomes include:</w:t>
      </w:r>
    </w:p>
    <w:p>
      <w:pPr>
        <w:numPr>
          <w:ilvl w:val="0"/>
          <w:numId w:val="1002"/>
        </w:numPr>
        <w:pStyle w:val="Compact"/>
      </w:pPr>
      <w:r>
        <w:t xml:space="preserve">A validated, Istanbul-adapted Laboratory Technician competency framework certified by the Turkish Ministry of Health.</w:t>
      </w:r>
    </w:p>
    <w:p>
      <w:pPr>
        <w:numPr>
          <w:ilvl w:val="0"/>
          <w:numId w:val="1002"/>
        </w:numPr>
        <w:pStyle w:val="Compact"/>
      </w:pPr>
      <w:r>
        <w:t xml:space="preserve">A scalable training curriculum for universities across Turkey, reducing regional skill disparities.</w:t>
      </w:r>
    </w:p>
    <w:p>
      <w:pPr>
        <w:numPr>
          <w:ilvl w:val="0"/>
          <w:numId w:val="1002"/>
        </w:numPr>
        <w:pStyle w:val="Compact"/>
      </w:pPr>
      <w:r>
        <w:t xml:space="preserve">Documented evidence linking standardized Laboratory Technician training to a 30% reduction in diagnostic errors at Istanbul hospitals (based on pilot data).</w:t>
      </w:r>
    </w:p>
    <w:p>
      <w:pPr>
        <w:pStyle w:val="FirstParagraph"/>
      </w:pPr>
      <w:r>
        <w:t xml:space="preserve">The significance extends beyond Istanbul: By establishing a replicable model for Turkey, this initiative will directly support the government's "Health 2053" vision. It addresses systemic vulnerabilities exposed during the pandemic—where inconsistent lab protocols delayed critical public health responses—and positions Istanbul as a testbed for national workforce standards. For the Laboratory Technician profession in</w:t>
      </w:r>
      <w:r>
        <w:t xml:space="preserve"> </w:t>
      </w:r>
      <w:r>
        <w:rPr>
          <w:iCs/>
          <w:i/>
        </w:rPr>
        <w:t xml:space="preserve">Turkey Istanbul</w:t>
      </w:r>
      <w:r>
        <w:t xml:space="preserve">, this proposal elevates their role from technical operators to essential research collaborators, fostering greater professional respect and career advancement opportunities within Turkey's knowledge economy.</w:t>
      </w:r>
    </w:p>
    <w:bookmarkEnd w:id="27"/>
    <w:bookmarkStart w:id="28" w:name="vi.-implementation-plan-budget-overview"/>
    <w:p>
      <w:pPr>
        <w:pStyle w:val="Heading2"/>
      </w:pPr>
      <w:r>
        <w:t xml:space="preserve">VI. Implementation Plan &amp; Budget Overview</w:t>
      </w:r>
    </w:p>
    <w:p>
      <w:pPr>
        <w:pStyle w:val="FirstParagraph"/>
      </w:pPr>
      <w:r>
        <w:t xml:space="preserve">The project will be executed through a consortium led by Istanbul Technical University (ITU), with partners including the Istanbul Health Directorate, TUBITAK-TEYDEB, and private lab networks. A phased budget of 1.8 million Turkish Lira (TL) is proposed, allocated as follows:</w:t>
      </w:r>
    </w:p>
    <w:p>
      <w:pPr>
        <w:numPr>
          <w:ilvl w:val="0"/>
          <w:numId w:val="1003"/>
        </w:numPr>
        <w:pStyle w:val="Compact"/>
      </w:pPr>
      <w:r>
        <w:t xml:space="preserve">Personnel &amp; Training Materials: 45%</w:t>
      </w:r>
    </w:p>
    <w:p>
      <w:pPr>
        <w:numPr>
          <w:ilvl w:val="0"/>
          <w:numId w:val="1003"/>
        </w:numPr>
        <w:pStyle w:val="Compact"/>
      </w:pPr>
      <w:r>
        <w:t xml:space="preserve">Institutional Collaboration Support (Istanbul sites): 30%</w:t>
      </w:r>
    </w:p>
    <w:p>
      <w:pPr>
        <w:numPr>
          <w:ilvl w:val="0"/>
          <w:numId w:val="1003"/>
        </w:numPr>
        <w:pStyle w:val="Compact"/>
      </w:pPr>
      <w:r>
        <w:t xml:space="preserve">Data Analytics &amp; Reporting: 15%</w:t>
      </w:r>
    </w:p>
    <w:p>
      <w:pPr>
        <w:numPr>
          <w:ilvl w:val="0"/>
          <w:numId w:val="1003"/>
        </w:numPr>
        <w:pStyle w:val="Compact"/>
      </w:pPr>
      <w:r>
        <w:t xml:space="preserve">Dissemination (National Workshops in Istanbul, Ankara, Izmir): 10%</w:t>
      </w:r>
    </w:p>
    <w:p>
      <w:pPr>
        <w:pStyle w:val="FirstParagraph"/>
      </w:pPr>
      <w:r>
        <w:t xml:space="preserve">All activities will comply with Turkey's Higher Education Council (YÖK) research ethics standards. A dedicated committee including Istanbul-based lab directors will oversee implementation to ensure alignment with local operational realities.</w:t>
      </w:r>
    </w:p>
    <w:bookmarkEnd w:id="28"/>
    <w:bookmarkStart w:id="29" w:name="vii.-conclusion"/>
    <w:p>
      <w:pPr>
        <w:pStyle w:val="Heading2"/>
      </w:pPr>
      <w:r>
        <w:t xml:space="preserve">VII. Conclusion</w:t>
      </w:r>
    </w:p>
    <w:p>
      <w:pPr>
        <w:pStyle w:val="FirstParagraph"/>
      </w:pPr>
      <w:r>
        <w:t xml:space="preserve">The Laboratory Technician is not merely a support role but the operational backbone of modern biomedical progress in</w:t>
      </w:r>
      <w:r>
        <w:t xml:space="preserve"> </w:t>
      </w:r>
      <w:r>
        <w:rPr>
          <w:iCs/>
          <w:i/>
        </w:rPr>
        <w:t xml:space="preserve">Turkey Istanbul</w:t>
      </w:r>
      <w:r>
        <w:t xml:space="preserve">. This Research Proposal presents a strategic, evidence-based roadmap to transform laboratory workforce capabilities at the epicenter of Turkey's healthcare innovation. By investing in standardized competencies for Laboratory Technicians across Istanbul's diverse research and clinical ecosystems, Turkey will accelerate its trajectory toward becoming a regional leader in health sciences while directly addressing critical gaps that compromise public health outcomes. The success of this initiative will serve as a national model, proving that targeted investment in the Laboratory Technician profession is fundamental to realizing Turkey's full potential in global scientific advancement. We urge the Ministry of Health and Istanbul-based research institutions to support this vital step toward a more resilient, skilled workforce for</w:t>
      </w:r>
      <w:r>
        <w:t xml:space="preserve"> </w:t>
      </w:r>
      <w:r>
        <w:rPr>
          <w:iCs/>
          <w:i/>
        </w:rPr>
        <w:t xml:space="preserve">Turkey Istanbul</w:t>
      </w:r>
      <w:r>
        <w:t xml:space="preserve">.</w:t>
      </w:r>
    </w:p>
    <w:p>
      <w:pPr>
        <w:pStyle w:val="BodyText"/>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Competencies in Istanbul, Turkey</dc:title>
  <dc:creator/>
  <dc:language>en</dc:language>
  <cp:keywords/>
  <dcterms:created xsi:type="dcterms:W3CDTF">2025-12-11T14:16:20Z</dcterms:created>
  <dcterms:modified xsi:type="dcterms:W3CDTF">2025-12-11T14:16:20Z</dcterms:modified>
</cp:coreProperties>
</file>

<file path=docProps/custom.xml><?xml version="1.0" encoding="utf-8"?>
<Properties xmlns="http://schemas.openxmlformats.org/officeDocument/2006/custom-properties" xmlns:vt="http://schemas.openxmlformats.org/officeDocument/2006/docPropsVTypes"/>
</file>