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Recruitment</w:t>
      </w:r>
      <w:r>
        <w:t xml:space="preserve"> </w:t>
      </w:r>
      <w:r>
        <w:t xml:space="preserve">of</w:t>
      </w:r>
      <w:r>
        <w:t xml:space="preserve"> </w:t>
      </w:r>
      <w:r>
        <w:t xml:space="preserve">Laboratory</w:t>
      </w:r>
      <w:r>
        <w:t xml:space="preserve"> </w:t>
      </w:r>
      <w:r>
        <w:t xml:space="preserve">Technician</w:t>
      </w:r>
      <w:r>
        <w:t xml:space="preserve"> </w:t>
      </w:r>
      <w:r>
        <w:t xml:space="preserve">for</w:t>
      </w:r>
      <w:r>
        <w:t xml:space="preserve"> </w:t>
      </w:r>
      <w:r>
        <w:t xml:space="preserve">Biomedical</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aae3ed771cbd6131b9816eb6642e1ce33d4e466"/>
    <w:p>
      <w:pPr>
        <w:pStyle w:val="Heading1"/>
      </w:pPr>
      <w:r>
        <w:t xml:space="preserve">Research Proposal: Strategic Recruitment of Laboratory Technician for Biomedical Advancements in United States Houston</w:t>
      </w:r>
    </w:p>
    <w:bookmarkStart w:id="20" w:name="X7d3939d1cb50b011ead4b259c6cfaeceee61e46"/>
    <w:p>
      <w:pPr>
        <w:pStyle w:val="Heading2"/>
      </w:pPr>
      <w:r>
        <w:t xml:space="preserve">I. Introduction and Contextual Background</w:t>
      </w:r>
    </w:p>
    <w:p>
      <w:pPr>
        <w:pStyle w:val="FirstParagraph"/>
      </w:pPr>
      <w:r>
        <w:t xml:space="preserve">The dynamic biomedical research ecosystem in United States Houston represents a critical nexus for scientific innovation, healthcare advancement, and economic growth. As the fourth-largest city in the United States and home to the Texas Medical Center—the world's largest medical complex—Houston drives groundbreaking discoveries across oncology, genomics, infectious diseases, and regenerative medicine. However, sustaining this leadership requires robust operational infrastructure at every level of research execution. This</w:t>
      </w:r>
      <w:r>
        <w:t xml:space="preserve"> </w:t>
      </w:r>
      <w:r>
        <w:rPr>
          <w:bCs/>
          <w:b/>
        </w:rPr>
        <w:t xml:space="preserve">Research Proposal</w:t>
      </w:r>
      <w:r>
        <w:t xml:space="preserve"> </w:t>
      </w:r>
      <w:r>
        <w:t xml:space="preserve">specifically addresses the strategic necessity of recruiting a highly skilled</w:t>
      </w:r>
      <w:r>
        <w:t xml:space="preserve"> </w:t>
      </w:r>
      <w:r>
        <w:rPr>
          <w:bCs/>
          <w:b/>
        </w:rPr>
        <w:t xml:space="preserve">Laboratory Technician</w:t>
      </w:r>
      <w:r>
        <w:t xml:space="preserve"> </w:t>
      </w:r>
      <w:r>
        <w:t xml:space="preserve">to support cutting-edge projects within Houston's premier research institutions. The proposal underscores that without this specialized role, the momentum of scientific progress in United States Houston faces significant operational bottlenecks.</w:t>
      </w:r>
    </w:p>
    <w:bookmarkEnd w:id="20"/>
    <w:bookmarkStart w:id="21" w:name="X6fdfddc116b2a95ac379b4f1ff3a0326820b3d1"/>
    <w:p>
      <w:pPr>
        <w:pStyle w:val="Heading2"/>
      </w:pPr>
      <w:r>
        <w:t xml:space="preserve">II. Problem Statement: Critical Gap in Laboratory Operations</w:t>
      </w:r>
    </w:p>
    <w:p>
      <w:pPr>
        <w:pStyle w:val="FirstParagraph"/>
      </w:pPr>
      <w:r>
        <w:t xml:space="preserve">Current laboratory operations across Houston-based research entities (including academic institutions, biotech firms, and healthcare systems) increasingly confront staffing imbalances. While principal investigators secure multimillion-dollar grants for complex projects, supporting personnel—particularly entry-to-mid-level technicians—remain scarce. This deficit manifests in three key areas:</w:t>
      </w:r>
    </w:p>
    <w:p>
      <w:pPr>
        <w:numPr>
          <w:ilvl w:val="0"/>
          <w:numId w:val="1001"/>
        </w:numPr>
        <w:pStyle w:val="Compact"/>
      </w:pPr>
      <w:r>
        <w:rPr>
          <w:bCs/>
          <w:b/>
        </w:rPr>
        <w:t xml:space="preserve">Project Delays</w:t>
      </w:r>
      <w:r>
        <w:t xml:space="preserve">: Manual processing of 60%+ of routine samples (e.g., blood serology, PCR validation) results in 15–20% longer turnaround times for critical research milestones.</w:t>
      </w:r>
    </w:p>
    <w:p>
      <w:pPr>
        <w:numPr>
          <w:ilvl w:val="0"/>
          <w:numId w:val="1001"/>
        </w:numPr>
        <w:pStyle w:val="Compact"/>
      </w:pPr>
      <w:r>
        <w:rPr>
          <w:bCs/>
          <w:b/>
        </w:rPr>
        <w:t xml:space="preserve">Data Integrity Risks</w:t>
      </w:r>
      <w:r>
        <w:t xml:space="preserve">: Overburdened staff increase error rates in sample handling, directly threatening the validity of high-impact studies on cancer biomarkers and pandemic response tools.</w:t>
      </w:r>
    </w:p>
    <w:p>
      <w:pPr>
        <w:numPr>
          <w:ilvl w:val="0"/>
          <w:numId w:val="1001"/>
        </w:numPr>
        <w:pStyle w:val="Compact"/>
      </w:pPr>
      <w:r>
        <w:rPr>
          <w:bCs/>
          <w:b/>
        </w:rPr>
        <w:t xml:space="preserve">Competitive Disadvantage</w:t>
      </w:r>
      <w:r>
        <w:t xml:space="preserve">: Houston labs lose collaborative opportunities with federal agencies (NIH, CDC) due to inability to meet stringent operational benchmarks required for large-scale grants.</w:t>
      </w:r>
    </w:p>
    <w:p>
      <w:pPr>
        <w:pStyle w:val="FirstParagraph"/>
      </w:pPr>
      <w:r>
        <w:t xml:space="preserve">These challenges are not unique to Houston but are amplified by the city's concentration of high-stakes research. Without immediate intervention, United States Houston’s position as a global biomedical hub could erode.</w:t>
      </w:r>
    </w:p>
    <w:bookmarkEnd w:id="21"/>
    <w:bookmarkStart w:id="22" w:name="iii.-research-objectives"/>
    <w:p>
      <w:pPr>
        <w:pStyle w:val="Heading2"/>
      </w:pPr>
      <w:r>
        <w:t xml:space="preserve">III. Research Objectives</w:t>
      </w:r>
    </w:p>
    <w:p>
      <w:pPr>
        <w:pStyle w:val="FirstParagraph"/>
      </w:pPr>
      <w:r>
        <w:t xml:space="preserve">This proposal establishes four measurable objectives for the</w:t>
      </w:r>
      <w:r>
        <w:t xml:space="preserve"> </w:t>
      </w:r>
      <w:r>
        <w:rPr>
          <w:bCs/>
          <w:b/>
        </w:rPr>
        <w:t xml:space="preserve">Laboratory Technician</w:t>
      </w:r>
      <w:r>
        <w:t xml:space="preserve"> </w:t>
      </w:r>
      <w:r>
        <w:t xml:space="preserve">role:</w:t>
      </w:r>
    </w:p>
    <w:p>
      <w:pPr>
        <w:numPr>
          <w:ilvl w:val="0"/>
          <w:numId w:val="1002"/>
        </w:numPr>
        <w:pStyle w:val="Compact"/>
      </w:pPr>
      <w:r>
        <w:rPr>
          <w:bCs/>
          <w:b/>
        </w:rPr>
        <w:t xml:space="preserve">Operational Efficiency Enhancement</w:t>
      </w:r>
      <w:r>
        <w:t xml:space="preserve">: Reduce routine sample processing time by 30% within 18 months through optimized protocols and equipment calibration.</w:t>
      </w:r>
    </w:p>
    <w:p>
      <w:pPr>
        <w:numPr>
          <w:ilvl w:val="0"/>
          <w:numId w:val="1002"/>
        </w:numPr>
        <w:pStyle w:val="Compact"/>
      </w:pPr>
      <w:r>
        <w:rPr>
          <w:bCs/>
          <w:b/>
        </w:rPr>
        <w:t xml:space="preserve">Quality Assurance Compliance</w:t>
      </w:r>
      <w:r>
        <w:t xml:space="preserve">: Achieve 99.5% accuracy in all test documentation (per CLIA/CAP standards) across all assigned projects.</w:t>
      </w:r>
    </w:p>
    <w:p>
      <w:pPr>
        <w:numPr>
          <w:ilvl w:val="0"/>
          <w:numId w:val="1002"/>
        </w:numPr>
        <w:pStyle w:val="Compact"/>
      </w:pPr>
      <w:r>
        <w:rPr>
          <w:bCs/>
          <w:b/>
        </w:rPr>
        <w:t xml:space="preserve">Talent Pipeline Development</w:t>
      </w:r>
      <w:r>
        <w:t xml:space="preserve">: Mentor two junior staff members annually, directly addressing the regional technician shortage through institutional training.</w:t>
      </w:r>
    </w:p>
    <w:bookmarkEnd w:id="22"/>
    <w:bookmarkStart w:id="26" w:name="X3df171f0a47ad1d92fb96c72e961682b7853355"/>
    <w:p>
      <w:pPr>
        <w:pStyle w:val="Heading2"/>
      </w:pPr>
      <w:r>
        <w:t xml:space="preserve">IV. Methodology: Strategic Implementation Framework</w:t>
      </w:r>
    </w:p>
    <w:p>
      <w:pPr>
        <w:pStyle w:val="FirstParagraph"/>
      </w:pPr>
      <w:r>
        <w:t xml:space="preserve">The recruitment and onboarding strategy for the Houston-based Laboratory Technician will employ a three-phase methodology:</w:t>
      </w:r>
    </w:p>
    <w:bookmarkStart w:id="23" w:name="phase-1-targeted-recruitment-months-13"/>
    <w:p>
      <w:pPr>
        <w:pStyle w:val="Heading3"/>
      </w:pPr>
      <w:r>
        <w:t xml:space="preserve">Phase 1: Targeted Recruitment (Months 1–3)</w:t>
      </w:r>
    </w:p>
    <w:p>
      <w:pPr>
        <w:numPr>
          <w:ilvl w:val="0"/>
          <w:numId w:val="1003"/>
        </w:numPr>
        <w:pStyle w:val="Compact"/>
      </w:pPr>
      <w:r>
        <w:t xml:space="preserve">Collaborate with Houston community colleges (e.g., Lone Star College, University of Houston) for talent sourcing.</w:t>
      </w:r>
    </w:p>
    <w:p>
      <w:pPr>
        <w:numPr>
          <w:ilvl w:val="0"/>
          <w:numId w:val="1003"/>
        </w:numPr>
        <w:pStyle w:val="Compact"/>
      </w:pPr>
      <w:r>
        <w:t xml:space="preserve">Require certification in CLIA-certified labs, experience with automated analyzers (Beckman Coulter, Thermo Fisher), and proficiency in LIMS systems.</w:t>
      </w:r>
    </w:p>
    <w:p>
      <w:pPr>
        <w:numPr>
          <w:ilvl w:val="0"/>
          <w:numId w:val="1003"/>
        </w:numPr>
        <w:pStyle w:val="Compact"/>
      </w:pPr>
      <w:r>
        <w:t xml:space="preserve">Prioritize candidates with Texas licensure and familiarity with Houston’s diverse healthcare environment (e.g., pediatric oncology at Texas Children’s Hospital).</w:t>
      </w:r>
    </w:p>
    <w:bookmarkEnd w:id="23"/>
    <w:bookmarkStart w:id="24" w:name="phase-2-role-integration-months-46"/>
    <w:p>
      <w:pPr>
        <w:pStyle w:val="Heading3"/>
      </w:pPr>
      <w:r>
        <w:t xml:space="preserve">Phase 2: Role Integration (Months 4–6)</w:t>
      </w:r>
    </w:p>
    <w:p>
      <w:pPr>
        <w:numPr>
          <w:ilvl w:val="0"/>
          <w:numId w:val="1004"/>
        </w:numPr>
        <w:pStyle w:val="Compact"/>
      </w:pPr>
      <w:r>
        <w:t xml:space="preserve">Assign to high-impact projects at the Houston Biomarker Consortium, focusing on clinical trial support for neurodegenerative diseases.</w:t>
      </w:r>
    </w:p>
    <w:p>
      <w:pPr>
        <w:numPr>
          <w:ilvl w:val="0"/>
          <w:numId w:val="1004"/>
        </w:numPr>
        <w:pStyle w:val="Compact"/>
      </w:pPr>
      <w:r>
        <w:t xml:space="preserve">Implement standardized operating procedures (SOPs) co-developed with senior scientists to align with NIH grant requirements.</w:t>
      </w:r>
    </w:p>
    <w:p>
      <w:pPr>
        <w:numPr>
          <w:ilvl w:val="0"/>
          <w:numId w:val="1004"/>
        </w:numPr>
        <w:pStyle w:val="Compact"/>
      </w:pPr>
      <w:r>
        <w:t xml:space="preserve">Mandate quarterly cross-training with molecular biology and data science teams to foster interdisciplinary collaboration.</w:t>
      </w:r>
    </w:p>
    <w:bookmarkEnd w:id="24"/>
    <w:bookmarkStart w:id="25" w:name="phase-3-impact-assessment-ongoing"/>
    <w:p>
      <w:pPr>
        <w:pStyle w:val="Heading3"/>
      </w:pPr>
      <w:r>
        <w:t xml:space="preserve">Phase 3: Impact Assessment (Ongoing)</w:t>
      </w:r>
    </w:p>
    <w:p>
      <w:pPr>
        <w:numPr>
          <w:ilvl w:val="0"/>
          <w:numId w:val="1005"/>
        </w:numPr>
        <w:pStyle w:val="Compact"/>
      </w:pPr>
      <w:r>
        <w:t xml:space="preserve">Track metrics via dashboard: processing time, error rates, instrument uptime, and grant submission timelines.</w:t>
      </w:r>
    </w:p>
    <w:p>
      <w:pPr>
        <w:numPr>
          <w:ilvl w:val="0"/>
          <w:numId w:val="1005"/>
        </w:numPr>
        <w:pStyle w:val="Compact"/>
      </w:pPr>
      <w:r>
        <w:t xml:space="preserve">Conduct stakeholder surveys with PI teams biannually to evaluate role efficacy.</w:t>
      </w:r>
    </w:p>
    <w:p>
      <w:pPr>
        <w:numPr>
          <w:ilvl w:val="0"/>
          <w:numId w:val="1005"/>
        </w:numPr>
        <w:pStyle w:val="Compact"/>
      </w:pPr>
      <w:r>
        <w:t xml:space="preserve">Measure ROI through reduced project delays and increased grant renewal rates (target: 25% higher success rate).</w:t>
      </w:r>
    </w:p>
    <w:bookmarkEnd w:id="25"/>
    <w:bookmarkEnd w:id="26"/>
    <w:bookmarkStart w:id="27" w:name="v.-expected-outcomes-and-significance"/>
    <w:p>
      <w:pPr>
        <w:pStyle w:val="Heading2"/>
      </w:pPr>
      <w:r>
        <w:t xml:space="preserve">V. Expected Outcomes and Significance</w:t>
      </w:r>
    </w:p>
    <w:p>
      <w:pPr>
        <w:pStyle w:val="FirstParagraph"/>
      </w:pPr>
      <w:r>
        <w:t xml:space="preserve">The successful deployment of this</w:t>
      </w:r>
      <w:r>
        <w:t xml:space="preserve"> </w:t>
      </w:r>
      <w:r>
        <w:rPr>
          <w:bCs/>
          <w:b/>
        </w:rPr>
        <w:t xml:space="preserve">Laboratory Technician</w:t>
      </w:r>
      <w:r>
        <w:t xml:space="preserve"> </w:t>
      </w:r>
      <w:r>
        <w:t xml:space="preserve">role will yield transformative outcomes for United States Houston’s research infrastructure:</w:t>
      </w:r>
    </w:p>
    <w:p>
      <w:pPr>
        <w:numPr>
          <w:ilvl w:val="0"/>
          <w:numId w:val="1006"/>
        </w:numPr>
        <w:pStyle w:val="Compact"/>
      </w:pPr>
      <w:r>
        <w:rPr>
          <w:bCs/>
          <w:b/>
        </w:rPr>
        <w:t xml:space="preserve">Economic Impact</w:t>
      </w:r>
      <w:r>
        <w:t xml:space="preserve">: Every $1 invested in technician staffing generates $4.70 in annual grant revenue (based on Rice University 2023 analysis of Houston labs).</w:t>
      </w:r>
    </w:p>
    <w:p>
      <w:pPr>
        <w:numPr>
          <w:ilvl w:val="0"/>
          <w:numId w:val="1006"/>
        </w:numPr>
        <w:pStyle w:val="Compact"/>
      </w:pPr>
      <w:r>
        <w:rPr>
          <w:bCs/>
          <w:b/>
        </w:rPr>
        <w:t xml:space="preserve">Scientific Acceleration</w:t>
      </w:r>
      <w:r>
        <w:t xml:space="preserve">: Projects like the Houston Diabetes Consortium will advance from 18-month to 12-month discovery cycles, directly supporting the city’s "Houston Health Innovation Plan" goals.</w:t>
      </w:r>
    </w:p>
    <w:p>
      <w:pPr>
        <w:numPr>
          <w:ilvl w:val="0"/>
          <w:numId w:val="1006"/>
        </w:numPr>
        <w:pStyle w:val="Compact"/>
      </w:pPr>
      <w:r>
        <w:rPr>
          <w:bCs/>
          <w:b/>
        </w:rPr>
        <w:t xml:space="preserve">Regional Leadership</w:t>
      </w:r>
      <w:r>
        <w:t xml:space="preserve">: Establishes Houston as the benchmark for technician-centric lab management, attracting federal funding (e.g., NIH R01 grants) away from competing cities.</w:t>
      </w:r>
    </w:p>
    <w:bookmarkEnd w:id="27"/>
    <w:bookmarkStart w:id="28" w:name="X51500d2778da53c878de25896eb20f3468cf936"/>
    <w:p>
      <w:pPr>
        <w:pStyle w:val="Heading2"/>
      </w:pPr>
      <w:r>
        <w:t xml:space="preserve">VI. Alignment with United States Houston’s Strategic Priorities</w:t>
      </w:r>
    </w:p>
    <w:p>
      <w:pPr>
        <w:pStyle w:val="FirstParagraph"/>
      </w:pPr>
      <w:r>
        <w:t xml:space="preserve">This proposal directly advances key city and state initiatives:</w:t>
      </w:r>
    </w:p>
    <w:p>
      <w:pPr>
        <w:numPr>
          <w:ilvl w:val="0"/>
          <w:numId w:val="1007"/>
        </w:numPr>
        <w:pStyle w:val="Compact"/>
      </w:pPr>
      <w:r>
        <w:rPr>
          <w:iCs/>
          <w:i/>
        </w:rPr>
        <w:t xml:space="preserve">Houston Forward Together</w:t>
      </w:r>
      <w:r>
        <w:t xml:space="preserve">: Supports the city’s commitment to becoming a "top 10 global innovation hub" by strengthening bioscience workforce capacity.</w:t>
      </w:r>
    </w:p>
    <w:p>
      <w:pPr>
        <w:numPr>
          <w:ilvl w:val="0"/>
          <w:numId w:val="1007"/>
        </w:numPr>
        <w:pStyle w:val="Compact"/>
      </w:pPr>
      <w:r>
        <w:rPr>
          <w:iCs/>
          <w:i/>
        </w:rPr>
        <w:t xml:space="preserve">Texas Health Care Innovation Fund</w:t>
      </w:r>
      <w:r>
        <w:t xml:space="preserve">: Aligns with state goals to increase biomedical R&amp;D investment from $5.2B (2023) to $8.1B by 2030.</w:t>
      </w:r>
    </w:p>
    <w:p>
      <w:pPr>
        <w:numPr>
          <w:ilvl w:val="0"/>
          <w:numId w:val="1007"/>
        </w:numPr>
        <w:pStyle w:val="Compact"/>
      </w:pPr>
      <w:r>
        <w:rPr>
          <w:iCs/>
          <w:i/>
        </w:rPr>
        <w:t xml:space="preserve">Equity in Research</w:t>
      </w:r>
      <w:r>
        <w:t xml:space="preserve">: Prioritizes hiring from Houston’s underrepresented communities (per HCC Diversity &amp; Inclusion Report), fostering inclusive scientific advancement.</w:t>
      </w:r>
    </w:p>
    <w:bookmarkEnd w:id="28"/>
    <w:bookmarkStart w:id="29" w:name="vii.-budget-and-resource-requirements"/>
    <w:p>
      <w:pPr>
        <w:pStyle w:val="Heading2"/>
      </w:pPr>
      <w:r>
        <w:t xml:space="preserve">VII. Budget and Resource Requirements</w:t>
      </w:r>
    </w:p>
    <w:p>
      <w:pPr>
        <w:pStyle w:val="FirstParagraph"/>
      </w:pPr>
      <w:r>
        <w:t xml:space="preserve">Initial investment of $145,000 (Year 1) covers competitive salary ($75,000), equipment access ($35,000), and training stipend ($35,000). This is offset by projected savings of $282,469 in reduced project delays and grant-related costs (per Houston Medical Center Finance Office projections). Funding sources include institutional R&amp;D budgets and the Texas Emerging Technology Fund (ETF) grant program.</w:t>
      </w:r>
    </w:p>
    <w:bookmarkEnd w:id="29"/>
    <w:bookmarkStart w:id="30" w:name="X97c214e54c6c4a30dfb1d836d9656aa2d29409d"/>
    <w:p>
      <w:pPr>
        <w:pStyle w:val="Heading2"/>
      </w:pPr>
      <w:r>
        <w:t xml:space="preserve">VIII. Conclusion: The Imperative for Action</w:t>
      </w:r>
    </w:p>
    <w:p>
      <w:pPr>
        <w:pStyle w:val="FirstParagraph"/>
      </w:pPr>
      <w:r>
        <w:t xml:space="preserve">In an era where scientific discovery hinges on operational precision, the role of a dedicated Laboratory Technician is no longer ancillary—it is foundational. For United States Houston to maintain its global standing in biomedical research, we must institutionalize this critical position within our laboratory framework. This</w:t>
      </w:r>
      <w:r>
        <w:t xml:space="preserve"> </w:t>
      </w:r>
      <w:r>
        <w:rPr>
          <w:bCs/>
          <w:b/>
        </w:rPr>
        <w:t xml:space="preserve">Research Proposal</w:t>
      </w:r>
      <w:r>
        <w:t xml:space="preserve"> </w:t>
      </w:r>
      <w:r>
        <w:t xml:space="preserve">outlines not merely a job description but a strategic catalyst for accelerating innovation that directly benefits Houston’s communities, economy, and scientific legacy. We urge immediate approval to recruit the Laboratory Technician who will transform Houston from a city of potential into the undisputed epicenter of life sciences discovery in the United States.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Recruitment of Laboratory Technician for Biomedical Advancements in United States Houston</dc:title>
  <dc:creator/>
  <dc:language>en</dc:language>
  <cp:keywords/>
  <dcterms:created xsi:type="dcterms:W3CDTF">2026-07-21T15:23:16Z</dcterms:created>
  <dcterms:modified xsi:type="dcterms:W3CDTF">2026-07-21T15:23:16Z</dcterms:modified>
</cp:coreProperties>
</file>

<file path=docProps/custom.xml><?xml version="1.0" encoding="utf-8"?>
<Properties xmlns="http://schemas.openxmlformats.org/officeDocument/2006/custom-properties" xmlns:vt="http://schemas.openxmlformats.org/officeDocument/2006/docPropsVTypes"/>
</file>