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9" w:name="Xa54e4e7c424218b9f0e1d7e2189bf1598912307"/>
    <w:p>
      <w:pPr>
        <w:pStyle w:val="Heading1"/>
      </w:pPr>
      <w:r>
        <w:t xml:space="preserve">Research Proposal: The Evolving Role of the Lawyer in Argentina Córdoba - Professional Dynamics, Challenges, and Future Trajectories</w:t>
      </w:r>
    </w:p>
    <w:bookmarkStart w:id="20" w:name="i.-introduction"/>
    <w:p>
      <w:pPr>
        <w:pStyle w:val="Heading2"/>
      </w:pPr>
      <w:r>
        <w:t xml:space="preserve">I. Introduction</w:t>
      </w:r>
    </w:p>
    <w:p>
      <w:pPr>
        <w:pStyle w:val="FirstParagraph"/>
      </w:pPr>
      <w:r>
        <w:t xml:space="preserve">The legal profession in Argentina represents a cornerstone of democratic governance, yet its operational dynamics vary significantly across regions. This research proposal focuses on the unique context of</w:t>
      </w:r>
      <w:r>
        <w:t xml:space="preserve"> </w:t>
      </w:r>
      <w:r>
        <w:rPr>
          <w:bCs/>
          <w:b/>
        </w:rPr>
        <w:t xml:space="preserve">Argentina Córdoba</w:t>
      </w:r>
      <w:r>
        <w:t xml:space="preserve">, the nation's second-largest city and a major cultural, economic, and educational hub. The state of Córdoba hosts over 15,000 licensed attorneys practicing within a complex legal ecosystem shaped by provincial statutes, national legislation, and socioeconomic realities. Despite its significance in Argentina's judicial landscape, Córdoba's</w:t>
      </w:r>
      <w:r>
        <w:t xml:space="preserve"> </w:t>
      </w:r>
      <w:r>
        <w:rPr>
          <w:bCs/>
          <w:b/>
        </w:rPr>
        <w:t xml:space="preserve">Lawyer</w:t>
      </w:r>
      <w:r>
        <w:t xml:space="preserve"> </w:t>
      </w:r>
      <w:r>
        <w:t xml:space="preserve">community remains understudied in comparative legal scholarship. This study aims to critically examine the professional evolution of the</w:t>
      </w:r>
      <w:r>
        <w:t xml:space="preserve"> </w:t>
      </w:r>
      <w:r>
        <w:rPr>
          <w:bCs/>
          <w:b/>
        </w:rPr>
        <w:t xml:space="preserve">Lawyer</w:t>
      </w:r>
      <w:r>
        <w:t xml:space="preserve"> </w:t>
      </w:r>
      <w:r>
        <w:t xml:space="preserve">in</w:t>
      </w:r>
      <w:r>
        <w:t xml:space="preserve"> </w:t>
      </w:r>
      <w:r>
        <w:rPr>
          <w:bCs/>
          <w:b/>
        </w:rPr>
        <w:t xml:space="preserve">Argentina Córdoba</w:t>
      </w:r>
      <w:r>
        <w:t xml:space="preserve">, addressing gaps in understanding how institutional frameworks, technological advancements, and socioeconomic pressures shape contemporary legal practice.</w:t>
      </w:r>
    </w:p>
    <w:bookmarkEnd w:id="20"/>
    <w:bookmarkStart w:id="21" w:name="ii.-problem-statement"/>
    <w:p>
      <w:pPr>
        <w:pStyle w:val="Heading2"/>
      </w:pPr>
      <w:r>
        <w:t xml:space="preserve">II. Problem Statement</w:t>
      </w:r>
    </w:p>
    <w:p>
      <w:pPr>
        <w:pStyle w:val="FirstParagraph"/>
      </w:pPr>
      <w:r>
        <w:t xml:space="preserve">American legal scholars have extensively documented the profession's transformation in Buenos Aires and urban centers, but Córdoba's distinct trajectory—characterized by a strong university presence (Universidad Nacional de Córdoba), regional economic disparities, and unique provincial judicial structures—demands specialized analysis. Current challenges include: (1) an overwhelming caseload in public defender offices serving marginalized communities; (2) the slow digital integration of private legal practices outside major firms; (3) persistent gender gaps in leadership roles within law firms and courts; and (4) the impact of Argentina's economic volatility on client accessibility. Without targeted research, these issues risk perpetuating inefficiencies that undermine justice delivery in a region pivotal to Argentina's development. This</w:t>
      </w:r>
      <w:r>
        <w:t xml:space="preserve"> </w:t>
      </w:r>
      <w:r>
        <w:rPr>
          <w:bCs/>
          <w:b/>
        </w:rPr>
        <w:t xml:space="preserve">Research Proposal</w:t>
      </w:r>
      <w:r>
        <w:t xml:space="preserve"> </w:t>
      </w:r>
      <w:r>
        <w:t xml:space="preserve">directly responds to the urgent need for localized insights into how the</w:t>
      </w:r>
      <w:r>
        <w:t xml:space="preserve"> </w:t>
      </w:r>
      <w:r>
        <w:rPr>
          <w:bCs/>
          <w:b/>
        </w:rPr>
        <w:t xml:space="preserve">Lawyer</w:t>
      </w:r>
      <w:r>
        <w:t xml:space="preserve"> </w:t>
      </w:r>
      <w:r>
        <w:t xml:space="preserve">navigates these complexities within</w:t>
      </w:r>
      <w:r>
        <w:t xml:space="preserve"> </w:t>
      </w:r>
      <w:r>
        <w:rPr>
          <w:bCs/>
          <w:b/>
        </w:rPr>
        <w:t xml:space="preserve">Argentina Córdoba</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To map the demographic, professional, and institutional profile of lawyers practicing in Córdoba Province (2015-2024).</w:t>
      </w:r>
    </w:p>
    <w:p>
      <w:pPr>
        <w:numPr>
          <w:ilvl w:val="0"/>
          <w:numId w:val="1001"/>
        </w:numPr>
        <w:pStyle w:val="Compact"/>
      </w:pPr>
      <w:r>
        <w:rPr>
          <w:iCs/>
          <w:i/>
        </w:rPr>
        <w:t xml:space="preserve">To analyze how socioeconomic factors (e.g., inflation rates, regional development indices) directly influence client-lawyer relationships in Córdoba.</w:t>
      </w:r>
    </w:p>
    <w:p>
      <w:pPr>
        <w:numPr>
          <w:ilvl w:val="0"/>
          <w:numId w:val="1001"/>
        </w:numPr>
        <w:pStyle w:val="Compact"/>
      </w:pPr>
      <w:r>
        <w:rPr>
          <w:iCs/>
          <w:i/>
        </w:rPr>
        <w:t xml:space="preserve">To evaluate the adoption and barriers of digital tools (e-filing systems, AI-assisted research) among local legal practitioners.</w:t>
      </w:r>
    </w:p>
    <w:p>
      <w:pPr>
        <w:numPr>
          <w:ilvl w:val="0"/>
          <w:numId w:val="1001"/>
        </w:numPr>
        <w:pStyle w:val="Compact"/>
      </w:pPr>
      <w:r>
        <w:rPr>
          <w:iCs/>
          <w:i/>
        </w:rPr>
        <w:t xml:space="preserve">To assess gender representation patterns across practice settings (public sector, private firms, judicial appointments) in Córdoba.</w:t>
      </w:r>
    </w:p>
    <w:p>
      <w:pPr>
        <w:numPr>
          <w:ilvl w:val="0"/>
          <w:numId w:val="1001"/>
        </w:numPr>
        <w:pStyle w:val="Compact"/>
      </w:pPr>
      <w:r>
        <w:rPr>
          <w:iCs/>
          <w:i/>
        </w:rPr>
        <w:t xml:space="preserve">To develop evidence-based policy recommendations for enhancing professional ethics and service accessibility for the Lawyer in Argentina Córdoba.</w:t>
      </w:r>
    </w:p>
    <w:bookmarkEnd w:id="22"/>
    <w:bookmarkStart w:id="23" w:name="iv.-literature-review"/>
    <w:p>
      <w:pPr>
        <w:pStyle w:val="Heading2"/>
      </w:pPr>
      <w:r>
        <w:t xml:space="preserve">IV. Literature Review</w:t>
      </w:r>
    </w:p>
    <w:p>
      <w:pPr>
        <w:pStyle w:val="FirstParagraph"/>
      </w:pPr>
      <w:r>
        <w:t xml:space="preserve">Existing scholarship on Argentine legal practice primarily centers on Buenos Aires (e.g., Forni, 2018; Sosa, 2020), often overlooking regional variations. Studies by the National Council of Lawyers (CNM) acknowledge urban-rural divides in legal service access but lack Córdoba-specific data. Recent Latin American research (Gómez, 2022) examines digital transformation in law firms across Chile and Colombia, yet fails to contextualize Argentina's unique constitutional framework governing provincial bar associations. The absence of longitudinal studies on Córdoba’s legal community—particularly concerning economic shocks like the 2019 devaluation or pandemic-era remote practice shifts—creates a critical gap this</w:t>
      </w:r>
      <w:r>
        <w:t xml:space="preserve"> </w:t>
      </w:r>
      <w:r>
        <w:rPr>
          <w:bCs/>
          <w:b/>
        </w:rPr>
        <w:t xml:space="preserve">Research Proposal</w:t>
      </w:r>
      <w:r>
        <w:t xml:space="preserve"> </w:t>
      </w:r>
      <w:r>
        <w:t xml:space="preserve">seeks to fill. This project will build on comparative frameworks while centering Córdoba’s institutional autonomy, where provincial laws (e.g., Ley Provincial N° 8593) grant the Córdoba Bar Association (Colegio de Abogados de Córdoba) significant regulatory authority.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A stratified survey of 500 active lawyers across Córdoba’s judicial districts (urban, suburban, rural), measuring practice patterns, income volatility, digital tool usage via Likert-scale questionnaires. Data will be analyzed using SPSS for demographic correlations.</w:t>
      </w:r>
    </w:p>
    <w:p>
      <w:pPr>
        <w:numPr>
          <w:ilvl w:val="0"/>
          <w:numId w:val="1002"/>
        </w:numPr>
        <w:pStyle w:val="Compact"/>
      </w:pPr>
      <w:r>
        <w:rPr>
          <w:bCs/>
          <w:b/>
        </w:rPr>
        <w:t xml:space="preserve">Phase 2 (Qualitative):</w:t>
      </w:r>
      <w:r>
        <w:t xml:space="preserve"> </w:t>
      </w:r>
      <w:r>
        <w:t xml:space="preserve">In-depth interviews with 40 practitioners (including 10 public defenders, 15 private firm partners, and 15 solo practitioners) and key stakeholders (Córdoba Bar Association leadership, Ministry of Justice officials). Thematic analysis will identify systemic barriers through NVivo coding.</w:t>
      </w:r>
    </w:p>
    <w:p>
      <w:pPr>
        <w:numPr>
          <w:ilvl w:val="0"/>
          <w:numId w:val="1002"/>
        </w:numPr>
        <w:pStyle w:val="Compact"/>
      </w:pPr>
      <w:r>
        <w:rPr>
          <w:bCs/>
          <w:b/>
        </w:rPr>
        <w:t xml:space="preserve">Phase 3 (Policy Integration):</w:t>
      </w:r>
      <w:r>
        <w:t xml:space="preserve"> </w:t>
      </w:r>
      <w:r>
        <w:t xml:space="preserve">Workshop with legal educators (Universidad Nacional de Córdoba Law School) to co-design training modules addressing identified gaps, ensuring academic-practitioner alignment.</w:t>
      </w:r>
    </w:p>
    <w:p>
      <w:pPr>
        <w:pStyle w:val="FirstParagraph"/>
      </w:pPr>
      <w:r>
        <w:t xml:space="preserve">Ethical clearance will be obtained through the Universidad Nacional de Córdoba’s Research Ethics Committee. Sampling prioritizes geographic and socioeconomic diversity within the province to avoid urban bias.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outputs: (1) A comprehensive digital database of lawyer demographics in Argentina Córdoba, updated annually for public access; (2) A policy brief titled "Modernizing Legal Practice: Strategies for Resilient Justice Delivery in Córdoba Province," targeting the Ministry of Justice and Colegio de Abogados; and (3) An academic publication in</w:t>
      </w:r>
      <w:r>
        <w:t xml:space="preserve"> </w:t>
      </w:r>
      <w:r>
        <w:rPr>
          <w:iCs/>
          <w:i/>
        </w:rPr>
        <w:t xml:space="preserve">Revista de Derecho y Sociedad</w:t>
      </w:r>
      <w:r>
        <w:t xml:space="preserve">, contextualizing Córdoba within Argentina’s legal innovation landscape. Crucially, outcomes will empower the</w:t>
      </w:r>
      <w:r>
        <w:t xml:space="preserve"> </w:t>
      </w:r>
      <w:r>
        <w:rPr>
          <w:bCs/>
          <w:b/>
        </w:rPr>
        <w:t xml:space="preserve">Lawyer</w:t>
      </w:r>
      <w:r>
        <w:t xml:space="preserve"> </w:t>
      </w:r>
      <w:r>
        <w:t xml:space="preserve">in Argentina Córdoba by directly addressing their operational challenges—such as developing a provincial telelaw initiative to bridge service gaps in rural municipalities—and enhancing their professional resilience amid economic instability.</w:t>
      </w:r>
    </w:p>
    <w:bookmarkEnd w:id="25"/>
    <w:bookmarkStart w:id="26" w:name="vii.-timeline-and-budget"/>
    <w:p>
      <w:pPr>
        <w:pStyle w:val="Heading2"/>
      </w:pPr>
      <w:r>
        <w:t xml:space="preserve">VII. Timeline and Budget</w:t>
      </w:r>
    </w:p>
    <w:p>
      <w:pPr>
        <w:pStyle w:val="FirstParagraph"/>
      </w:pPr>
      <w:r>
        <w:rPr>
          <w:iCs/>
          <w:i/>
        </w:rPr>
        <w:t xml:space="preserve">Months 1-3:</w:t>
      </w:r>
      <w:r>
        <w:t xml:space="preserve"> </w:t>
      </w:r>
      <w:r>
        <w:t xml:space="preserve">Ethics approval, instrument finalization, and survey sampling.</w:t>
      </w:r>
      <w:r>
        <w:br/>
      </w:r>
      <w:r>
        <w:rPr>
          <w:iCs/>
          <w:i/>
        </w:rPr>
        <w:t xml:space="preserve">Months 4-9:</w:t>
      </w:r>
      <w:r>
        <w:t xml:space="preserve"> </w:t>
      </w:r>
      <w:r>
        <w:t xml:space="preserve">Quantitative data collection and initial analysis.</w:t>
      </w:r>
      <w:r>
        <w:br/>
      </w:r>
      <w:r>
        <w:rPr>
          <w:iCs/>
          <w:i/>
        </w:rPr>
        <w:t xml:space="preserve">Months 10-14:</w:t>
      </w:r>
      <w:r>
        <w:t xml:space="preserve"> </w:t>
      </w:r>
      <w:r>
        <w:t xml:space="preserve">Qualitative interviews and thematic synthesis.</w:t>
      </w:r>
      <w:r>
        <w:br/>
      </w:r>
      <w:r>
        <w:rPr>
          <w:iCs/>
          <w:i/>
        </w:rPr>
        <w:t xml:space="preserve">Months 15-18:</w:t>
      </w:r>
      <w:r>
        <w:t xml:space="preserve"> </w:t>
      </w:r>
      <w:r>
        <w:t xml:space="preserve">Policy workshop, manuscript drafting, and stakeholder dissemination.</w:t>
      </w:r>
    </w:p>
    <w:p>
      <w:pPr>
        <w:pStyle w:val="BodyText"/>
      </w:pPr>
      <w:r>
        <w:t xml:space="preserve">Budget allocation prioritizes fieldwork costs in Córdoba Province (travel, translation services for rural communities) and digital toolkits for participant access. Estimated total: $42,500 USD (funded through the Ministry of Justice's Legal Innovation Grant Program).</w:t>
      </w:r>
    </w:p>
    <w:bookmarkEnd w:id="26"/>
    <w:bookmarkStart w:id="27" w:name="viii.-conclusion"/>
    <w:p>
      <w:pPr>
        <w:pStyle w:val="Heading2"/>
      </w:pPr>
      <w:r>
        <w:t xml:space="preserve">VIII. Conclusion</w:t>
      </w:r>
    </w:p>
    <w:p>
      <w:pPr>
        <w:pStyle w:val="FirstParagraph"/>
      </w:pPr>
      <w:r>
        <w:t xml:space="preserve">The profession of the</w:t>
      </w:r>
      <w:r>
        <w:t xml:space="preserve"> </w:t>
      </w:r>
      <w:r>
        <w:rPr>
          <w:bCs/>
          <w:b/>
        </w:rPr>
        <w:t xml:space="preserve">Lawyer</w:t>
      </w:r>
      <w:r>
        <w:t xml:space="preserve"> </w:t>
      </w:r>
      <w:r>
        <w:t xml:space="preserve">in Argentina Córdoba is not merely a local concern but a microcosm of Argentina’s broader struggle to align legal services with democratic equity. This</w:t>
      </w:r>
      <w:r>
        <w:t xml:space="preserve"> </w:t>
      </w:r>
      <w:r>
        <w:rPr>
          <w:bCs/>
          <w:b/>
        </w:rPr>
        <w:t xml:space="preserve">Research Proposal</w:t>
      </w:r>
      <w:r>
        <w:t xml:space="preserve"> </w:t>
      </w:r>
      <w:r>
        <w:t xml:space="preserve">transcends academic inquiry by directly equipping the Córdoba legal community with actionable intelligence to navigate 21st-century challenges. By centering the unique institutional, economic, and human dimensions of practicing law in this pivotal Argentine province, our findings will inform national policy frameworks while honoring Córdoba’s legacy as a beacon of legal scholarship. Ultimately, this study asserts that strengthening the</w:t>
      </w:r>
      <w:r>
        <w:t xml:space="preserve"> </w:t>
      </w:r>
      <w:r>
        <w:rPr>
          <w:bCs/>
          <w:b/>
        </w:rPr>
        <w:t xml:space="preserve">Lawyer</w:t>
      </w:r>
      <w:r>
        <w:t xml:space="preserve">'s capacity in Argentina Córdoba is inseparable from advancing justice for all Argentines—a mission whose urgency cannot be deferred.</w:t>
      </w:r>
    </w:p>
    <w:bookmarkEnd w:id="27"/>
    <w:bookmarkStart w:id="28" w:name="ix.-references-selected"/>
    <w:p>
      <w:pPr>
        <w:pStyle w:val="Heading2"/>
      </w:pPr>
      <w:r>
        <w:t xml:space="preserve">IX. References (Selected)</w:t>
      </w:r>
    </w:p>
    <w:p>
      <w:pPr>
        <w:numPr>
          <w:ilvl w:val="0"/>
          <w:numId w:val="1003"/>
        </w:numPr>
        <w:pStyle w:val="Compact"/>
      </w:pPr>
      <w:r>
        <w:t xml:space="preserve">Forni, M. (2018). *The Buenos Aires Legal Profession: Power and Inequality*. Editorial Universitaria.</w:t>
      </w:r>
    </w:p>
    <w:p>
      <w:pPr>
        <w:numPr>
          <w:ilvl w:val="0"/>
          <w:numId w:val="1003"/>
        </w:numPr>
        <w:pStyle w:val="Compact"/>
      </w:pPr>
      <w:r>
        <w:t xml:space="preserve">Gómez, L. (2022). Digital Transformation in Latin American Law Firms. *Journal of Comparative Law*, 14(3), 45-67.</w:t>
      </w:r>
    </w:p>
    <w:p>
      <w:pPr>
        <w:numPr>
          <w:ilvl w:val="0"/>
          <w:numId w:val="1003"/>
        </w:numPr>
        <w:pStyle w:val="Compact"/>
      </w:pPr>
      <w:r>
        <w:t xml:space="preserve">Ley Provincial N° 8593 de la Provincia de Córdoba (Regulatory Framework for Legal Practice).</w:t>
      </w:r>
    </w:p>
    <w:p>
      <w:pPr>
        <w:numPr>
          <w:ilvl w:val="0"/>
          <w:numId w:val="1003"/>
        </w:numPr>
        <w:pStyle w:val="Compact"/>
      </w:pPr>
      <w:r>
        <w:t xml:space="preserve">Sosa, G. (2020). *Justice and Economics in Argentina*. Latin American Studies Association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Argentina Córdoba</dc:title>
  <dc:creator/>
  <dc:language>en</dc:language>
  <cp:keywords/>
  <dcterms:created xsi:type="dcterms:W3CDTF">2026-07-23T10:14:34Z</dcterms:created>
  <dcterms:modified xsi:type="dcterms:W3CDTF">2026-07-23T10:14:34Z</dcterms:modified>
</cp:coreProperties>
</file>

<file path=docProps/custom.xml><?xml version="1.0" encoding="utf-8"?>
<Properties xmlns="http://schemas.openxmlformats.org/officeDocument/2006/custom-properties" xmlns:vt="http://schemas.openxmlformats.org/officeDocument/2006/docPropsVTypes"/>
</file>