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Australia</w:t>
      </w:r>
      <w:r>
        <w:t xml:space="preserve"> </w:t>
      </w:r>
      <w:r>
        <w:t xml:space="preserve">Melbourne</w:t>
      </w:r>
    </w:p>
    <w:bookmarkStart w:id="28" w:name="Xab183c08c627d03333535aaf908867fc966e384"/>
    <w:p>
      <w:pPr>
        <w:pStyle w:val="Heading1"/>
      </w:pPr>
      <w:r>
        <w:t xml:space="preserve">Research Proposal: Navigating Complexity – A Study on the Contemporary Practice, Challenges, and Future Trajectory of Lawyers in Australia Melbourne</w:t>
      </w:r>
    </w:p>
    <w:bookmarkStart w:id="20" w:name="abstract"/>
    <w:p>
      <w:pPr>
        <w:pStyle w:val="Heading2"/>
      </w:pPr>
      <w:r>
        <w:t xml:space="preserve">Abstract</w:t>
      </w:r>
    </w:p>
    <w:p>
      <w:pPr>
        <w:pStyle w:val="FirstParagraph"/>
      </w:pPr>
      <w:r>
        <w:t xml:space="preserve">This research proposal outlines a comprehensive investigation into the current landscape, operational challenges, and future prospects facing legal practitioners within the specific context of Victoria's premier city, Melbourne. Focusing explicitly on the role of the</w:t>
      </w:r>
      <w:r>
        <w:t xml:space="preserve"> </w:t>
      </w:r>
      <w:r>
        <w:rPr>
          <w:iCs/>
          <w:i/>
        </w:rPr>
        <w:t xml:space="preserve">Lawyer</w:t>
      </w:r>
      <w:r>
        <w:t xml:space="preserve"> </w:t>
      </w:r>
      <w:r>
        <w:t xml:space="preserve">as a central actor in Australia's legal system, this study is grounded firmly in the unique socio-economic, regulatory, and geographical realities of</w:t>
      </w:r>
      <w:r>
        <w:t xml:space="preserve"> </w:t>
      </w:r>
      <w:r>
        <w:rPr>
          <w:bCs/>
          <w:b/>
        </w:rPr>
        <w:t xml:space="preserve">Australia Melbourne</w:t>
      </w:r>
      <w:r>
        <w:t xml:space="preserve">. The research aims to identify critical pressures impacting lawyer well-being, service delivery models, access to justice initiatives, and the integration of emerging technologies. By concentrating on Melbourne – a hub for both elite private practice and vital community legal services – this project addresses a significant gap in understanding how the Australian legal profession adapts within one of the nation's most dynamic urban environments. The findings will provide actionable insights for policymakers, legal education providers, professional bodies (like the Legal Services Board of Victoria), and practitioners themselves, contributing to a more resilient and equitable justice system across</w:t>
      </w:r>
      <w:r>
        <w:t xml:space="preserve"> </w:t>
      </w:r>
      <w:r>
        <w:rPr>
          <w:bCs/>
          <w:b/>
        </w:rPr>
        <w:t xml:space="preserve">Australia Melbourne</w:t>
      </w:r>
      <w:r>
        <w:t xml:space="preserve">.</w:t>
      </w:r>
    </w:p>
    <w:bookmarkEnd w:id="20"/>
    <w:bookmarkStart w:id="21" w:name="introduction-context-and-significance"/>
    <w:p>
      <w:pPr>
        <w:pStyle w:val="Heading2"/>
      </w:pPr>
      <w:r>
        <w:t xml:space="preserve">1. Introduction: Context and Significance</w:t>
      </w:r>
    </w:p>
    <w:p>
      <w:pPr>
        <w:pStyle w:val="FirstParagraph"/>
      </w:pPr>
      <w:r>
        <w:t xml:space="preserve">Melbourne stands as the epicentre of legal practice in Australia outside of Canberra. It hosts the headquarters of major national firms, a dense concentration of specialist practices, numerous Community Legal Centres (CLCs), and is the administrative heart for key Victorian statutory bodies like the Victorian Civil and Administrative Tribunal (VCAT). The role of the</w:t>
      </w:r>
      <w:r>
        <w:t xml:space="preserve"> </w:t>
      </w:r>
      <w:r>
        <w:rPr>
          <w:iCs/>
          <w:i/>
        </w:rPr>
        <w:t xml:space="preserve">Lawyer</w:t>
      </w:r>
      <w:r>
        <w:t xml:space="preserve"> </w:t>
      </w:r>
      <w:r>
        <w:t xml:space="preserve">in this environment is multifaceted, ranging from high-stakes commercial litigation to essential advice for vulnerable clients navigating family law or housing disputes. However, this vibrant ecosystem faces mounting pressures: increasing caseloads, complex regulatory changes (e.g., evolving privacy laws, ASIC enforcement), the digital transformation of legal services ("Legal Tech"), and persistent challenges in access to justice within an affordable housing crisis. Understanding these dynamics specifically within</w:t>
      </w:r>
      <w:r>
        <w:t xml:space="preserve"> </w:t>
      </w:r>
      <w:r>
        <w:rPr>
          <w:bCs/>
          <w:b/>
        </w:rPr>
        <w:t xml:space="preserve">Australia Melbourne</w:t>
      </w:r>
      <w:r>
        <w:t xml:space="preserve"> </w:t>
      </w:r>
      <w:r>
        <w:t xml:space="preserve">is crucial for Australia's national legal health. This</w:t>
      </w:r>
      <w:r>
        <w:t xml:space="preserve"> </w:t>
      </w:r>
      <w:r>
        <w:rPr>
          <w:iCs/>
          <w:i/>
        </w:rPr>
        <w:t xml:space="preserve">Research Proposal</w:t>
      </w:r>
      <w:r>
        <w:t xml:space="preserve"> </w:t>
      </w:r>
      <w:r>
        <w:t xml:space="preserve">directly addresses this need, moving beyond generic Australian studies to provide granular insights vital for Melbourne's unique context.</w:t>
      </w:r>
    </w:p>
    <w:bookmarkEnd w:id="21"/>
    <w:bookmarkStart w:id="22" w:name="X8c0adeb2a099665487c594ef5007d96e78de61a"/>
    <w:p>
      <w:pPr>
        <w:pStyle w:val="Heading2"/>
      </w:pPr>
      <w:r>
        <w:t xml:space="preserve">2. Problem Statement: The Gap in Contextualized Research</w:t>
      </w:r>
    </w:p>
    <w:p>
      <w:pPr>
        <w:pStyle w:val="FirstParagraph"/>
      </w:pPr>
      <w:r>
        <w:t xml:space="preserve">While significant research exists on the Australian legal profession broadly, there is a critical lack of focused, large-scale empirical studies examining the lived experience and systemic pressures *specifically* experienced by lawyers practicing within Melbourne. Existing literature often generalizes findings across states or focuses solely on metropolitan hubs without delving into Melbourne's distinct characteristics – its high cost of living impacting firm viability, its significant immigrant population creating complex cultural competence demands in practice, and its position as a testing ground for innovative legal service models (e.g., online dispute resolution pilots). This gap hinders the development of targeted interventions. How do Melbourne-based lawyers manage the specific intersection of intense urban caseloads with diverse client needs? How are regulatory changes like the recent *Legal Profession Uniform Law* amendments impacting daily practice in this city? Without answering these questions through a Melbourne-specific lens, policy responses risk being misaligned and ineffective for Australia's legal capital. This research fills that critical void.</w:t>
      </w:r>
    </w:p>
    <w:bookmarkEnd w:id="22"/>
    <w:bookmarkStart w:id="23" w:name="research-objectives"/>
    <w:p>
      <w:pPr>
        <w:pStyle w:val="Heading2"/>
      </w:pPr>
      <w:r>
        <w:t xml:space="preserve">3. Research Objectives</w:t>
      </w:r>
    </w:p>
    <w:p>
      <w:pPr>
        <w:numPr>
          <w:ilvl w:val="0"/>
          <w:numId w:val="1001"/>
        </w:numPr>
        <w:pStyle w:val="Compact"/>
      </w:pPr>
      <w:r>
        <w:t xml:space="preserve">To map the current demographic, practice settings (private firm, in-house, CLC, government), and primary caseload types of lawyers actively practising in Melbourne.</w:t>
      </w:r>
    </w:p>
    <w:p>
      <w:pPr>
        <w:numPr>
          <w:ilvl w:val="0"/>
          <w:numId w:val="1001"/>
        </w:numPr>
        <w:pStyle w:val="Compact"/>
      </w:pPr>
      <w:r>
        <w:t xml:space="preserve">To identify and analyse the most significant operational challenges faced by Melbourne lawyers (e.g., workload intensity, financial pressures on small firms/CLCs, technology adoption barriers, client service expectations) with a focus on how these are *exacerbated or unique* to the Melbourne context within Australia.</w:t>
      </w:r>
    </w:p>
    <w:p>
      <w:pPr>
        <w:numPr>
          <w:ilvl w:val="0"/>
          <w:numId w:val="1001"/>
        </w:numPr>
        <w:pStyle w:val="Compact"/>
      </w:pPr>
      <w:r>
        <w:t xml:space="preserve">To assess the impact of recent regulatory and technological developments on lawyer well-being and service delivery models in Melbourne.</w:t>
      </w:r>
    </w:p>
    <w:p>
      <w:pPr>
        <w:numPr>
          <w:ilvl w:val="0"/>
          <w:numId w:val="1001"/>
        </w:numPr>
        <w:pStyle w:val="Compact"/>
      </w:pPr>
      <w:r>
        <w:t xml:space="preserve">To evaluate the effectiveness and challenges of current access to justice initiatives (e.g., Legal Aid Victoria, CLCs, pro bono programs) *as experienced by lawyers* within the Melbourne metropolitan area.</w:t>
      </w:r>
    </w:p>
    <w:p>
      <w:pPr>
        <w:numPr>
          <w:ilvl w:val="0"/>
          <w:numId w:val="1001"/>
        </w:numPr>
        <w:pStyle w:val="Compact"/>
      </w:pPr>
      <w:r>
        <w:t xml:space="preserve">To develop evidence-based recommendations for enhancing lawyer resilience, improving service delivery efficiency, and strengthening access to justice specifically within the</w:t>
      </w:r>
      <w:r>
        <w:t xml:space="preserve"> </w:t>
      </w:r>
      <w:r>
        <w:rPr>
          <w:bCs/>
          <w:b/>
        </w:rPr>
        <w:t xml:space="preserve">Australia Melbourne</w:t>
      </w:r>
      <w:r>
        <w:t xml:space="preserve"> </w:t>
      </w:r>
      <w:r>
        <w:t xml:space="preserve">legal ecosystem.</w:t>
      </w:r>
    </w:p>
    <w:bookmarkEnd w:id="23"/>
    <w:bookmarkStart w:id="24" w:name="methodology"/>
    <w:p>
      <w:pPr>
        <w:pStyle w:val="Heading2"/>
      </w:pPr>
      <w:r>
        <w:t xml:space="preserve">4. Methodology</w:t>
      </w:r>
    </w:p>
    <w:p>
      <w:pPr>
        <w:pStyle w:val="FirstParagraph"/>
      </w:pPr>
      <w:r>
        <w:t xml:space="preserve">This mixed-methods research will employ a triangulated approach tailored to Melbourne's legal landscape:</w:t>
      </w:r>
    </w:p>
    <w:p>
      <w:pPr>
        <w:numPr>
          <w:ilvl w:val="0"/>
          <w:numId w:val="1002"/>
        </w:numPr>
        <w:pStyle w:val="Compact"/>
      </w:pPr>
      <w:r>
        <w:rPr>
          <w:iCs/>
          <w:i/>
        </w:rPr>
        <w:t xml:space="preserve">Quantitative Survey:</w:t>
      </w:r>
      <w:r>
        <w:t xml:space="preserve"> </w:t>
      </w:r>
      <w:r>
        <w:t xml:space="preserve">A structured online survey targeting licensed lawyers registered with the Victorian Legal Services Board (VLSB), stratified by practice setting and experience, seeking data on workload, satisfaction, challenges, and technology use.</w:t>
      </w:r>
    </w:p>
    <w:p>
      <w:pPr>
        <w:numPr>
          <w:ilvl w:val="0"/>
          <w:numId w:val="1002"/>
        </w:numPr>
        <w:pStyle w:val="Compact"/>
      </w:pPr>
      <w:r>
        <w:rPr>
          <w:iCs/>
          <w:i/>
        </w:rPr>
        <w:t xml:space="preserve">Semi-Structured Interviews:</w:t>
      </w:r>
      <w:r>
        <w:t xml:space="preserve"> </w:t>
      </w:r>
      <w:r>
        <w:t xml:space="preserve">In-depth interviews with approximately 30-40 diverse practitioners (including firm partners, CLC lawyers, in-house counsel) across Melbourne's metropolitan areas to explore nuanced experiences and contextual factors.</w:t>
      </w:r>
    </w:p>
    <w:p>
      <w:pPr>
        <w:numPr>
          <w:ilvl w:val="0"/>
          <w:numId w:val="1002"/>
        </w:numPr>
        <w:pStyle w:val="Compact"/>
      </w:pPr>
      <w:r>
        <w:rPr>
          <w:iCs/>
          <w:i/>
        </w:rPr>
        <w:t xml:space="preserve">Document Analysis:</w:t>
      </w:r>
      <w:r>
        <w:t xml:space="preserve"> </w:t>
      </w:r>
      <w:r>
        <w:t xml:space="preserve">Review of relevant policy documents (e.g., Victorian Legal Aid Strategy), regulatory reports, and recent case studies specific to Melbourne legal practice.</w:t>
      </w:r>
    </w:p>
    <w:p>
      <w:pPr>
        <w:pStyle w:val="FirstParagraph"/>
      </w:pPr>
      <w:r>
        <w:t xml:space="preserve">Data analysis will utilise statistical software for survey data and thematic analysis for interview transcripts. Ethical approval will be sought from a Melbourne university ethics committee. The research period is proposed for 12 months.</w:t>
      </w:r>
    </w:p>
    <w:bookmarkEnd w:id="24"/>
    <w:bookmarkStart w:id="25" w:name="expected-significance-and-contribution"/>
    <w:p>
      <w:pPr>
        <w:pStyle w:val="Heading2"/>
      </w:pPr>
      <w:r>
        <w:t xml:space="preserve">5. Expected Significance and Contribution</w:t>
      </w:r>
    </w:p>
    <w:p>
      <w:pPr>
        <w:pStyle w:val="FirstParagraph"/>
      </w:pPr>
      <w:r>
        <w:t xml:space="preserve">This</w:t>
      </w:r>
      <w:r>
        <w:t xml:space="preserve"> </w:t>
      </w:r>
      <w:r>
        <w:rPr>
          <w:iCs/>
          <w:i/>
        </w:rPr>
        <w:t xml:space="preserve">Research Proposal</w:t>
      </w:r>
      <w:r>
        <w:t xml:space="preserve"> </w:t>
      </w:r>
      <w:r>
        <w:t xml:space="preserve">directly contributes to the understanding of the modern</w:t>
      </w:r>
      <w:r>
        <w:t xml:space="preserve"> </w:t>
      </w:r>
      <w:r>
        <w:rPr>
          <w:bCs/>
          <w:b/>
        </w:rPr>
        <w:t xml:space="preserve">Australia Melbourne</w:t>
      </w:r>
      <w:r>
        <w:t xml:space="preserve"> </w:t>
      </w:r>
      <w:r>
        <w:t xml:space="preserve">legal profession by providing:</w:t>
      </w:r>
      <w:r>
        <w:t xml:space="preserve"> </w:t>
      </w:r>
      <w:r>
        <w:t xml:space="preserve">* **Evidence-Based Policy Input:** Concrete data for bodies like the Victorian Government, Legal Services Board, and Australian Bar Association (Victoria) to inform targeted reforms on lawyer sustainability and access to justice.</w:t>
      </w:r>
      <w:r>
        <w:t xml:space="preserve"> </w:t>
      </w:r>
      <w:r>
        <w:t xml:space="preserve">* **Enhanced Professional Development:** Insights for law schools and continuing legal education providers to tailor curricula addressing Melbourne-specific demands (e.g., cross-cultural communication skills, tech literacy).</w:t>
      </w:r>
      <w:r>
        <w:t xml:space="preserve"> </w:t>
      </w:r>
      <w:r>
        <w:t xml:space="preserve">* **Improved Firm/CLC Management:** Practical strategies for legal practices in Melbourne to address well-being and operational challenges identified through the research.</w:t>
      </w:r>
      <w:r>
        <w:t xml:space="preserve"> </w:t>
      </w:r>
      <w:r>
        <w:t xml:space="preserve">* **Strengthened Access to Justice:** Recommendations for improving the efficiency and reach of legal services delivered by lawyers within Melbourne's complex urban setting, benefiting vulnerable populations disproportionately impacted by systemic barriers.</w:t>
      </w:r>
      <w:r>
        <w:t xml:space="preserve"> </w:t>
      </w:r>
      <w:r>
        <w:t xml:space="preserve">* **National Benchmarking:** A robust case study demonstrating how Melbourne – as a microcosm of Australia's legal challenges – can inform broader national strategies. The findings will be disseminated through academic publications, practitioner workshops in Melbourne, policy briefings to relevant Victorian and Commonwealth bodies, and reports to the VLSB.</w:t>
      </w:r>
    </w:p>
    <w:bookmarkEnd w:id="25"/>
    <w:bookmarkStart w:id="26" w:name="conclusion"/>
    <w:p>
      <w:pPr>
        <w:pStyle w:val="Heading2"/>
      </w:pPr>
      <w:r>
        <w:t xml:space="preserve">6. Conclusion</w:t>
      </w:r>
    </w:p>
    <w:p>
      <w:pPr>
        <w:pStyle w:val="FirstParagraph"/>
      </w:pPr>
      <w:r>
        <w:t xml:space="preserve">The practice of law in Australia Melbourne is at a pivotal juncture. The evolving role of the Lawyer demands a deep understanding grounded in the city's specific realities. This research proposal presents a timely, necessary, and focused investigation into the heart of Melbourne's legal ecosystem. By centering our analysis on Melbourne – its unique pressures, opportunities, and actors – this study will generate invaluable knowledge directly applicable to enhancing the effectiveness of lawyers across</w:t>
      </w:r>
      <w:r>
        <w:t xml:space="preserve"> </w:t>
      </w:r>
      <w:r>
        <w:rPr>
          <w:bCs/>
          <w:b/>
        </w:rPr>
        <w:t xml:space="preserve">Australia Melbourne</w:t>
      </w:r>
      <w:r>
        <w:t xml:space="preserve">, ultimately contributing to a more accessible, efficient, and sustainable justice system for all Victorians and offering significant lessons for the Australian legal profession nationally. The findings will be instrumental in shaping the future trajectory of legal practice where it matters most: on the ground in Australia's most dynamic city.</w:t>
      </w:r>
    </w:p>
    <w:bookmarkEnd w:id="26"/>
    <w:bookmarkStart w:id="27" w:name="references-illustrative"/>
    <w:p>
      <w:pPr>
        <w:pStyle w:val="Heading2"/>
      </w:pPr>
      <w:r>
        <w:t xml:space="preserve">References (Illustrative)</w:t>
      </w:r>
    </w:p>
    <w:p>
      <w:pPr>
        <w:pStyle w:val="FirstParagraph"/>
      </w:pPr>
      <w:r>
        <w:t xml:space="preserve">(Note: Full references would be included in a formal proposal)</w:t>
      </w:r>
    </w:p>
    <w:p>
      <w:pPr>
        <w:numPr>
          <w:ilvl w:val="0"/>
          <w:numId w:val="1003"/>
        </w:numPr>
        <w:pStyle w:val="Compact"/>
      </w:pPr>
      <w:r>
        <w:t xml:space="preserve">Australian Institute of Judicial Administration (AIJA). (2023). *Report on Legal Profession Workload and Wellbeing*. Canberra.</w:t>
      </w:r>
    </w:p>
    <w:p>
      <w:pPr>
        <w:numPr>
          <w:ilvl w:val="0"/>
          <w:numId w:val="1003"/>
        </w:numPr>
        <w:pStyle w:val="Compact"/>
      </w:pPr>
      <w:r>
        <w:t xml:space="preserve">Legal Services Board of Victoria. (2024). *Annual Report 2023-24: Building Access to Justice in Victoria*.</w:t>
      </w:r>
    </w:p>
    <w:p>
      <w:pPr>
        <w:numPr>
          <w:ilvl w:val="0"/>
          <w:numId w:val="1003"/>
        </w:numPr>
        <w:pStyle w:val="Compact"/>
      </w:pPr>
      <w:r>
        <w:t xml:space="preserve">Murphy, J., &amp; Tait, B. (2023). "Urban Legal Practice and the Challenge of Access." *Melbourne University Law Review*, 47(1), 112-135.</w:t>
      </w:r>
    </w:p>
    <w:p>
      <w:pPr>
        <w:numPr>
          <w:ilvl w:val="0"/>
          <w:numId w:val="1003"/>
        </w:numPr>
        <w:pStyle w:val="Compact"/>
      </w:pPr>
      <w:r>
        <w:t xml:space="preserve">Victorian Government. (2023). *Victoria's Justice Strategy: Pathways to Fairness*.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Lawyers in Australia Melbourne</dc:title>
  <dc:creator/>
  <dc:language>en</dc:language>
  <cp:keywords/>
  <dcterms:created xsi:type="dcterms:W3CDTF">2026-07-23T04:45:12Z</dcterms:created>
  <dcterms:modified xsi:type="dcterms:W3CDTF">2026-07-23T04:45:12Z</dcterms:modified>
</cp:coreProperties>
</file>

<file path=docProps/custom.xml><?xml version="1.0" encoding="utf-8"?>
<Properties xmlns="http://schemas.openxmlformats.org/officeDocument/2006/custom-properties" xmlns:vt="http://schemas.openxmlformats.org/officeDocument/2006/docPropsVTypes"/>
</file>