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Australia</w:t>
      </w:r>
      <w:r>
        <w:t xml:space="preserve"> </w:t>
      </w:r>
      <w:r>
        <w:t xml:space="preserve">Sydney's</w:t>
      </w:r>
      <w:r>
        <w:t xml:space="preserve"> </w:t>
      </w:r>
      <w:r>
        <w:t xml:space="preserve">Legal</w:t>
      </w:r>
      <w:r>
        <w:t xml:space="preserve"> </w:t>
      </w:r>
      <w:r>
        <w:t xml:space="preserve">Landscape</w:t>
      </w:r>
    </w:p>
    <w:bookmarkStart w:id="28" w:name="X92268654ff57ce29887c8703800f4071d8835c0"/>
    <w:p>
      <w:pPr>
        <w:pStyle w:val="Heading1"/>
      </w:pPr>
      <w:r>
        <w:t xml:space="preserve">Research Proposal: The Evolving Role of the Lawyer in Australia Sydney's Legal Landscape</w:t>
      </w:r>
    </w:p>
    <w:bookmarkStart w:id="20" w:name="introduction"/>
    <w:p>
      <w:pPr>
        <w:pStyle w:val="Heading2"/>
      </w:pPr>
      <w:r>
        <w:t xml:space="preserve">1. Introduction</w:t>
      </w:r>
    </w:p>
    <w:p>
      <w:pPr>
        <w:pStyle w:val="FirstParagraph"/>
      </w:pPr>
      <w:r>
        <w:t xml:space="preserve">The legal profession in Australia has undergone profound transformation, with Sydney emerging as the nation's premier hub for legal innovation and complex litigation. This Research Proposal investigates the critical role of the modern</w:t>
      </w:r>
      <w:r>
        <w:t xml:space="preserve"> </w:t>
      </w:r>
      <w:r>
        <w:rPr>
          <w:iCs/>
          <w:i/>
        </w:rPr>
        <w:t xml:space="preserve">Lawyer</w:t>
      </w:r>
      <w:r>
        <w:t xml:space="preserve"> </w:t>
      </w:r>
      <w:r>
        <w:t xml:space="preserve">within Sydney's dynamic legal ecosystem, examining how professional practices, technological integration, and socio-economic factors are reshaping legal services in</w:t>
      </w:r>
      <w:r>
        <w:t xml:space="preserve"> </w:t>
      </w:r>
      <w:r>
        <w:rPr>
          <w:bCs/>
          <w:b/>
        </w:rPr>
        <w:t xml:space="preserve">Australia Sydney</w:t>
      </w:r>
      <w:r>
        <w:t xml:space="preserve">. As Australia's most populous city hosts over 35% of the nation's legal practitioners (Australian Bureau of Statistics, 2023), understanding the evolving identity and challenges of the Sydney-based</w:t>
      </w:r>
      <w:r>
        <w:t xml:space="preserve"> </w:t>
      </w:r>
      <w:r>
        <w:rPr>
          <w:iCs/>
          <w:i/>
        </w:rPr>
        <w:t xml:space="preserve">Lawyer</w:t>
      </w:r>
      <w:r>
        <w:t xml:space="preserve"> </w:t>
      </w:r>
      <w:r>
        <w:t xml:space="preserve">is not merely academic—it is vital for policy formulation, professional development, and equitable access to justice in one of the world's most diverse urban environments.</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scholarship on Australian legal practice predominantly focuses on national frameworks (e.g., Legal Services Act 2004), with minimal granularity regarding Sydney-specific dynamics. Studies by the Law Council of Australia (2021) highlight systemic pressures like rising costs and AI adoption, but neglect spatial variations within metropolitan centers. Crucially, no comprehensive research examines how Sydney's unique confluence of international litigation hubs, Indigenous legal needs in urban settings, and startup-driven legal tech innovation collectively reshape the</w:t>
      </w:r>
      <w:r>
        <w:t xml:space="preserve"> </w:t>
      </w:r>
      <w:r>
        <w:rPr>
          <w:iCs/>
          <w:i/>
        </w:rPr>
        <w:t xml:space="preserve">Lawyer</w:t>
      </w:r>
      <w:r>
        <w:t xml:space="preserve">'s daily practice. This gap is particularly acute given Sydney's status as home to 7 of Australia's top 10 commercial law firms (Lexology, 2023). Our project directly addresses this omission by centering</w:t>
      </w:r>
      <w:r>
        <w:t xml:space="preserve"> </w:t>
      </w:r>
      <w:r>
        <w:rPr>
          <w:bCs/>
          <w:b/>
        </w:rPr>
        <w:t xml:space="preserve">Australia Sydney</w:t>
      </w:r>
      <w:r>
        <w:t xml:space="preserve"> </w:t>
      </w:r>
      <w:r>
        <w:t xml:space="preserve">as the primary analytical locale.</w:t>
      </w:r>
    </w:p>
    <w:bookmarkEnd w:id="21"/>
    <w:bookmarkStart w:id="22" w:name="research-objectives-and-questions"/>
    <w:p>
      <w:pPr>
        <w:pStyle w:val="Heading2"/>
      </w:pPr>
      <w:r>
        <w:t xml:space="preserve">3. Research Objectives and Questions</w:t>
      </w:r>
    </w:p>
    <w:p>
      <w:pPr>
        <w:pStyle w:val="FirstParagraph"/>
      </w:pPr>
      <w:r>
        <w:t xml:space="preserve">This study aims to deliver an empirically grounded analysis of the contemporary Sydney lawyer through three interconnected objectives:</w:t>
      </w:r>
    </w:p>
    <w:p>
      <w:pPr>
        <w:numPr>
          <w:ilvl w:val="0"/>
          <w:numId w:val="1001"/>
        </w:numPr>
        <w:pStyle w:val="Compact"/>
      </w:pPr>
      <w:r>
        <w:t xml:space="preserve">To map structural shifts in legal practice models (e.g., hybrid firms, AI-augmented workstreams) within Sydney's commercial, criminal, and community law sectors.</w:t>
      </w:r>
    </w:p>
    <w:p>
      <w:pPr>
        <w:numPr>
          <w:ilvl w:val="0"/>
          <w:numId w:val="1001"/>
        </w:numPr>
        <w:pStyle w:val="Compact"/>
      </w:pPr>
      <w:r>
        <w:t xml:space="preserve">To assess how socio-demographic diversity of Sydney's population influences client-lawyer dynamics and service delivery expectations.</w:t>
      </w:r>
    </w:p>
    <w:p>
      <w:pPr>
        <w:numPr>
          <w:ilvl w:val="0"/>
          <w:numId w:val="1001"/>
        </w:numPr>
        <w:pStyle w:val="Compact"/>
      </w:pPr>
      <w:r>
        <w:t xml:space="preserve">To evaluate the impact of new regulatory frameworks (e.g., Legal Practice Board NSW’s Digital Transformation Strategy 2025) on lawyer professional identity and ethical practice.</w:t>
      </w:r>
    </w:p>
    <w:p>
      <w:pPr>
        <w:pStyle w:val="FirstParagraph"/>
      </w:pPr>
      <w:r>
        <w:t xml:space="preserve">Core research questions include: How do Sydney-based lawyers reconcile traditional client-advocacy roles with emerging technology-driven service demands? What unique challenges arise when serving Sydney's culturally diverse population (including 47% overseas-born residents) within Australia's legal system? And how do regulatory changes impact the work-life balance and mental wellbeing of the</w:t>
      </w:r>
      <w:r>
        <w:t xml:space="preserve"> </w:t>
      </w:r>
      <w:r>
        <w:rPr>
          <w:iCs/>
          <w:i/>
        </w:rPr>
        <w:t xml:space="preserve">Lawyer</w:t>
      </w:r>
      <w:r>
        <w:t xml:space="preserve"> </w:t>
      </w:r>
      <w:r>
        <w:t xml:space="preserve">in Australia Sydney?</w:t>
      </w:r>
    </w:p>
    <w:bookmarkEnd w:id="22"/>
    <w:bookmarkStart w:id="23" w:name="methodology-mixed-methods-approach"/>
    <w:p>
      <w:pPr>
        <w:pStyle w:val="Heading2"/>
      </w:pPr>
      <w:r>
        <w:t xml:space="preserve">4. Methodology: Mixed-Methods Approach</w:t>
      </w:r>
    </w:p>
    <w:p>
      <w:pPr>
        <w:pStyle w:val="FirstParagraph"/>
      </w:pPr>
      <w:r>
        <w:t xml:space="preserve">A rigorous, multi-phase methodology will be employed to capture the complexity of legal practice in Sydney:</w:t>
      </w:r>
    </w:p>
    <w:p>
      <w:pPr>
        <w:numPr>
          <w:ilvl w:val="0"/>
          <w:numId w:val="1002"/>
        </w:numPr>
        <w:pStyle w:val="Compact"/>
      </w:pPr>
      <w:r>
        <w:rPr>
          <w:bCs/>
          <w:b/>
        </w:rPr>
        <w:t xml:space="preserve">Phase 1: Quantitative Survey</w:t>
      </w:r>
      <w:r>
        <w:t xml:space="preserve"> </w:t>
      </w:r>
      <w:r>
        <w:t xml:space="preserve">– Distributed to 500+ licensed practitioners across Sydney’s Legal Profession Register, measuring work patterns, technology adoption rates (e.g., AI tools like Harvey or LexisNexis), and demographic variables. Target response rate: 45% (minimum n=225).</w:t>
      </w:r>
    </w:p>
    <w:p>
      <w:pPr>
        <w:numPr>
          <w:ilvl w:val="0"/>
          <w:numId w:val="1002"/>
        </w:numPr>
        <w:pStyle w:val="Compact"/>
      </w:pPr>
      <w:r>
        <w:rPr>
          <w:bCs/>
          <w:b/>
        </w:rPr>
        <w:t xml:space="preserve">Phase 2: Qualitative Case Studies</w:t>
      </w:r>
      <w:r>
        <w:t xml:space="preserve"> </w:t>
      </w:r>
      <w:r>
        <w:t xml:space="preserve">– In-depth interviews with 30 diverse practitioners (commercial, public interest, Indigenous legal services) at key Sydney institutions (e.g., Supreme Court of NSW, Legal Aid NSW offices). Thematic analysis will identify narratives around professional identity.</w:t>
      </w:r>
    </w:p>
    <w:p>
      <w:pPr>
        <w:numPr>
          <w:ilvl w:val="0"/>
          <w:numId w:val="1002"/>
        </w:numPr>
        <w:pStyle w:val="Compact"/>
      </w:pPr>
      <w:r>
        <w:rPr>
          <w:bCs/>
          <w:b/>
        </w:rPr>
        <w:t xml:space="preserve">Phase 3: Regulatory Document Analysis</w:t>
      </w:r>
      <w:r>
        <w:t xml:space="preserve"> </w:t>
      </w:r>
      <w:r>
        <w:t xml:space="preserve">– Systematic review of 15 years of Legal Services Council reports and NSW Law Society policy briefings to trace institutional responses to practice evolution.</w:t>
      </w:r>
    </w:p>
    <w:p>
      <w:pPr>
        <w:pStyle w:val="FirstParagraph"/>
      </w:pPr>
      <w:r>
        <w:t xml:space="preserve">All data collection adheres to National Statement on Ethical Conduct (2023). Recruitment will prioritize geographic diversity across Sydney’s legal precincts (CBD, Parramatta, Northern Beaches) and professional sectors. Triangulation of datasets ensures robust validation of findings relevant to the Australian context.</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significant contributions:</w:t>
      </w:r>
    </w:p>
    <w:p>
      <w:pPr>
        <w:numPr>
          <w:ilvl w:val="0"/>
          <w:numId w:val="1003"/>
        </w:numPr>
        <w:pStyle w:val="Compact"/>
      </w:pPr>
      <w:r>
        <w:rPr>
          <w:bCs/>
          <w:b/>
        </w:rPr>
        <w:t xml:space="preserve">Practical Framework for Sydney Law Firms:</w:t>
      </w:r>
      <w:r>
        <w:t xml:space="preserve"> </w:t>
      </w:r>
      <w:r>
        <w:t xml:space="preserve">A bespoke "Adaptation Index" tool helping firms navigate technology integration while preserving ethical obligations—a critical need as 68% of Sydney law firms report AI adoption (PwC, 2023).</w:t>
      </w:r>
    </w:p>
    <w:p>
      <w:pPr>
        <w:numPr>
          <w:ilvl w:val="0"/>
          <w:numId w:val="1003"/>
        </w:numPr>
        <w:pStyle w:val="Compact"/>
      </w:pPr>
      <w:r>
        <w:rPr>
          <w:bCs/>
          <w:b/>
        </w:rPr>
        <w:t xml:space="preserve">Policy Recommendations for NSW Regulation:</w:t>
      </w:r>
      <w:r>
        <w:t xml:space="preserve"> </w:t>
      </w:r>
      <w:r>
        <w:t xml:space="preserve">Evidence-based submissions to the Legal Services Commission of NSW on reducing barriers to legal access in culturally complex communities (e.g., tailored services for Vietnamese or Arabic-speaking populations in Western Sydney).</w:t>
      </w:r>
    </w:p>
    <w:p>
      <w:pPr>
        <w:numPr>
          <w:ilvl w:val="0"/>
          <w:numId w:val="1003"/>
        </w:numPr>
        <w:pStyle w:val="Compact"/>
      </w:pPr>
      <w:r>
        <w:rPr>
          <w:bCs/>
          <w:b/>
        </w:rPr>
        <w:t xml:space="preserve">Professional Development Model:</w:t>
      </w:r>
      <w:r>
        <w:t xml:space="preserve"> </w:t>
      </w:r>
      <w:r>
        <w:t xml:space="preserve">A framework addressing mental health challenges unique to the Sydney lawyer, informed by stress metrics from Phase 2 interviews. This directly responds to NSW’s 30% higher lawyer burnout rate compared to national averages (Medibank Mental Health Report, 2022).</w:t>
      </w:r>
    </w:p>
    <w:p>
      <w:pPr>
        <w:pStyle w:val="FirstParagraph"/>
      </w:pPr>
      <w:r>
        <w:t xml:space="preserve">The study’s significance extends beyond academia: It equips</w:t>
      </w:r>
      <w:r>
        <w:t xml:space="preserve"> </w:t>
      </w:r>
      <w:r>
        <w:rPr>
          <w:iCs/>
          <w:i/>
        </w:rPr>
        <w:t xml:space="preserve">Lawyer</w:t>
      </w:r>
      <w:r>
        <w:t xml:space="preserve">s in Australia Sydney with actionable strategies for sustainable practice while informing Australian Government initiatives like the National Legal Assistance Plan. By centering Sydney—a microcosm of Australia’s urban legal challenges—the project offers transferable insights for cities globally facing similar pressures.</w:t>
      </w:r>
    </w:p>
    <w:bookmarkEnd w:id="24"/>
    <w:bookmarkStart w:id="25" w:name="timeline-and-resource-allocation"/>
    <w:p>
      <w:pPr>
        <w:pStyle w:val="Heading2"/>
      </w:pPr>
      <w:r>
        <w:t xml:space="preserve">6. Timeline and Resource Allocation</w:t>
      </w:r>
    </w:p>
    <w:p>
      <w:pPr>
        <w:pStyle w:val="FirstParagraph"/>
      </w:pPr>
      <w:r>
        <w:t xml:space="preserve">The 18-month research cycle is structured as follows: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Refined methodology, ethics approval, survey instruments</w:t>
      </w:r>
    </w:p>
    <w:p>
      <w:pPr>
        <w:pStyle w:val="BodyText"/>
      </w:pPr>
      <w:r>
        <w:t xml:space="preserve">Data Collection (Survey + Interviews)</w:t>
      </w:r>
    </w:p>
    <w:p>
      <w:pPr>
        <w:pStyle w:val="BodyText"/>
      </w:pPr>
      <w:r>
        <w:t xml:space="preserve">4-10</w:t>
      </w:r>
    </w:p>
    <w:p>
      <w:pPr>
        <w:pStyle w:val="BodyText"/>
      </w:pPr>
      <w:r>
        <w:t xml:space="preserve">Quantitative dataset; Transcribed interview transcripts</w:t>
      </w:r>
    </w:p>
    <w:p>
      <w:pPr>
        <w:pStyle w:val="BodyText"/>
      </w:pPr>
      <w:r>
        <w:t xml:space="preserve">Data Analysis &amp; Drafting</w:t>
      </w:r>
    </w:p>
    <w:p>
      <w:pPr>
        <w:pStyle w:val="BodyText"/>
      </w:pPr>
      <w:r>
        <w:t xml:space="preserve">11-14</w:t>
      </w:r>
    </w:p>
    <w:p>
      <w:pPr>
        <w:pStyle w:val="BodyText"/>
      </w:pPr>
      <w:r>
        <w:t xml:space="preserve">Annotated thematic reports; Preliminary policy briefs</w:t>
      </w:r>
    </w:p>
    <w:p>
      <w:pPr>
        <w:pStyle w:val="BodyText"/>
      </w:pPr>
      <w:r>
        <w:t xml:space="preserve">Stakeholder Engagement &amp; Finalization</w:t>
      </w:r>
    </w:p>
    <w:p>
      <w:pPr>
        <w:pStyle w:val="BodyText"/>
      </w:pPr>
      <w:r>
        <w:t xml:space="preserve">15-18</w:t>
      </w:r>
    </w:p>
    <w:p>
      <w:pPr>
        <w:pStyle w:val="BodyText"/>
      </w:pPr>
      <w:r>
        <w:t xml:space="preserve">Presentation to NSW Law Society; Final Research Report + 2 policy summaries</w:t>
      </w:r>
    </w:p>
    <w:bookmarkEnd w:id="25"/>
    <w:bookmarkStart w:id="26" w:name="conclusion"/>
    <w:p>
      <w:pPr>
        <w:pStyle w:val="Heading2"/>
      </w:pPr>
      <w:r>
        <w:t xml:space="preserve">7. Conclusion</w:t>
      </w:r>
    </w:p>
    <w:p>
      <w:pPr>
        <w:pStyle w:val="FirstParagraph"/>
      </w:pPr>
      <w:r>
        <w:t xml:space="preserve">The role of the</w:t>
      </w:r>
      <w:r>
        <w:t xml:space="preserve"> </w:t>
      </w:r>
      <w:r>
        <w:rPr>
          <w:iCs/>
          <w:i/>
        </w:rPr>
        <w:t xml:space="preserve">Lawyer</w:t>
      </w:r>
      <w:r>
        <w:t xml:space="preserve"> </w:t>
      </w:r>
      <w:r>
        <w:t xml:space="preserve">in Australia Sydney is at an inflection point, shaped by technological disruption, demographic shifts, and evolving societal expectations. This Research Proposal offers a timely investigation into this pivotal professional landscape. By grounding our analysis in Sydney’s specific realities—from the glass towers of Martin Place to community legal centres in Cabramatta—we deliver actionable knowledge that strengthens the profession’s capacity to serve all Sydneysiders equitably. The findings will directly inform regulators, law firms, and policymakers as they navigate Australia's complex legal future. In doing so, this project transcends academic inquiry; it is a vital investment in ensuring that the</w:t>
      </w:r>
      <w:r>
        <w:t xml:space="preserve"> </w:t>
      </w:r>
      <w:r>
        <w:rPr>
          <w:iCs/>
          <w:i/>
        </w:rPr>
        <w:t xml:space="preserve">Lawyer</w:t>
      </w:r>
      <w:r>
        <w:t xml:space="preserve"> </w:t>
      </w:r>
      <w:r>
        <w:t xml:space="preserve">remains a steadfast guardian of justice within Australia Sydney’s vibrant democracy.</w:t>
      </w:r>
    </w:p>
    <w:bookmarkEnd w:id="26"/>
    <w:bookmarkStart w:id="27" w:name="references-illustrative"/>
    <w:p>
      <w:pPr>
        <w:pStyle w:val="Heading2"/>
      </w:pPr>
      <w:r>
        <w:t xml:space="preserve">References (Illustrative)</w:t>
      </w:r>
    </w:p>
    <w:p>
      <w:pPr>
        <w:numPr>
          <w:ilvl w:val="0"/>
          <w:numId w:val="1004"/>
        </w:numPr>
        <w:pStyle w:val="Compact"/>
      </w:pPr>
      <w:r>
        <w:t xml:space="preserve">Australian Bureau of Statistics. (2023). *Legal Services Employment, Australia*. Cat. No. 6318.0</w:t>
      </w:r>
    </w:p>
    <w:p>
      <w:pPr>
        <w:numPr>
          <w:ilvl w:val="0"/>
          <w:numId w:val="1004"/>
        </w:numPr>
        <w:pStyle w:val="Compact"/>
      </w:pPr>
      <w:r>
        <w:t xml:space="preserve">Law Council of Australia. (2021). *Future of Legal Practice: National Report*</w:t>
      </w:r>
    </w:p>
    <w:p>
      <w:pPr>
        <w:numPr>
          <w:ilvl w:val="0"/>
          <w:numId w:val="1004"/>
        </w:numPr>
        <w:pStyle w:val="Compact"/>
      </w:pPr>
      <w:r>
        <w:t xml:space="preserve">Lexus Nexus Research Group &amp; NSW Law Society. (2023). *Sydney Legal Market Dynamics*. Sydney: Lexology Press.</w:t>
      </w:r>
    </w:p>
    <w:p>
      <w:pPr>
        <w:numPr>
          <w:ilvl w:val="0"/>
          <w:numId w:val="1004"/>
        </w:numPr>
        <w:pStyle w:val="Compact"/>
      </w:pPr>
      <w:r>
        <w:t xml:space="preserve">Medibank. (2022). *Mental Health Survey of Australian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Australia Sydney's Legal Landscape</dc:title>
  <dc:creator/>
  <dc:language>en</dc:language>
  <cp:keywords/>
  <dcterms:created xsi:type="dcterms:W3CDTF">2025-12-10T12:15:40Z</dcterms:created>
  <dcterms:modified xsi:type="dcterms:W3CDTF">2025-12-10T12:15:40Z</dcterms:modified>
</cp:coreProperties>
</file>

<file path=docProps/custom.xml><?xml version="1.0" encoding="utf-8"?>
<Properties xmlns="http://schemas.openxmlformats.org/officeDocument/2006/custom-properties" xmlns:vt="http://schemas.openxmlformats.org/officeDocument/2006/docPropsVTypes"/>
</file>