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9" w:name="X5a11c5bfe88d76be6e428bd84b7256182b4ef35"/>
    <w:p>
      <w:pPr>
        <w:pStyle w:val="Heading1"/>
      </w:pPr>
      <w:r>
        <w:t xml:space="preserve">Research Proposal: Analyzing the Contemporary Challenges and Evolution of the Lawyer Profession in Bangladesh Dhaka</w:t>
      </w:r>
    </w:p>
    <w:bookmarkStart w:id="20" w:name="introduction"/>
    <w:p>
      <w:pPr>
        <w:pStyle w:val="Heading2"/>
      </w:pPr>
      <w:r>
        <w:t xml:space="preserve">1. Introduction</w:t>
      </w:r>
    </w:p>
    <w:p>
      <w:pPr>
        <w:pStyle w:val="FirstParagraph"/>
      </w:pPr>
      <w:r>
        <w:t xml:space="preserve">The legal profession serves as the cornerstone of democratic governance and social justice, particularly in developing nations like Bangladesh. As the capital city housing 35% of Bangladesh's population, Dhaka functions as the epicenter for legal practice, judicial administration, and legislative activity across the nation. This</w:t>
      </w:r>
      <w:r>
        <w:t xml:space="preserve"> </w:t>
      </w:r>
      <w:r>
        <w:rPr>
          <w:bCs/>
          <w:b/>
        </w:rPr>
        <w:t xml:space="preserve">Research Proposal</w:t>
      </w:r>
      <w:r>
        <w:t xml:space="preserve"> </w:t>
      </w:r>
      <w:r>
        <w:t xml:space="preserve">meticulously examines the multifaceted role of a</w:t>
      </w:r>
      <w:r>
        <w:t xml:space="preserve"> </w:t>
      </w:r>
      <w:r>
        <w:rPr>
          <w:bCs/>
          <w:b/>
        </w:rPr>
        <w:t xml:space="preserve">Lawyer</w:t>
      </w:r>
      <w:r>
        <w:t xml:space="preserve"> </w:t>
      </w:r>
      <w:r>
        <w:t xml:space="preserve">within Dhaka's unique socio-legal ecosystem. With Bangladesh experiencing rapid urbanization and increasing legal complexities—from commercial disputes to human rights litigation—the profession faces unprecedented pressures demanding scholarly attention. This study directly addresses the critical gap in understanding how</w:t>
      </w:r>
      <w:r>
        <w:t xml:space="preserve"> </w:t>
      </w:r>
      <w:r>
        <w:rPr>
          <w:bCs/>
          <w:b/>
        </w:rPr>
        <w:t xml:space="preserve">Bangladesh Dhaka</w:t>
      </w:r>
      <w:r>
        <w:t xml:space="preserve">'s legal practitioners navigate systemic inefficiencies while upholding constitutional principles in a high-stakes urban environment.</w:t>
      </w:r>
    </w:p>
    <w:bookmarkEnd w:id="20"/>
    <w:bookmarkStart w:id="21" w:name="Xc09807f60568d89595a1ecf59cd150152a922b0"/>
    <w:p>
      <w:pPr>
        <w:pStyle w:val="Heading2"/>
      </w:pPr>
      <w:r>
        <w:t xml:space="preserve">2. Literature Review and Contextual Background</w:t>
      </w:r>
    </w:p>
    <w:p>
      <w:pPr>
        <w:pStyle w:val="FirstParagraph"/>
      </w:pPr>
      <w:r>
        <w:t xml:space="preserve">Existing scholarship on Bangladesh's legal system predominantly focuses on judicial reforms or legislative frameworks, often overlooking the practitioner's perspective. Studies by Rahman (2018) and Hossain (2020) note that Dhaka's Bar Association has grown from 5,000 to over 35,000 registered lawyers in two decades, yet infrastructure remains inadequate. International comparisons reveal Dhaka's legal practitioners face a unique confluence of challenges: an annual caseload exceeding 1.2 million cases at the High Court Division (Supreme Court of Bangladesh), extreme client accessibility barriers in low-income neighborhoods, and persistent informal justice mechanisms outside formal courts. Crucially, no recent comprehensive study has mapped how these pressures specifically shape a</w:t>
      </w:r>
      <w:r>
        <w:t xml:space="preserve"> </w:t>
      </w:r>
      <w:r>
        <w:rPr>
          <w:bCs/>
          <w:b/>
        </w:rPr>
        <w:t xml:space="preserve">Lawyer</w:t>
      </w:r>
      <w:r>
        <w:t xml:space="preserve">'s daily practice in Dhaka—a gap this research will fill.</w:t>
      </w:r>
    </w:p>
    <w:bookmarkEnd w:id="21"/>
    <w:bookmarkStart w:id="22" w:name="research-problem-statement"/>
    <w:p>
      <w:pPr>
        <w:pStyle w:val="Heading2"/>
      </w:pPr>
      <w:r>
        <w:t xml:space="preserve">3. Research Problem Statement</w:t>
      </w:r>
    </w:p>
    <w:p>
      <w:pPr>
        <w:pStyle w:val="FirstParagraph"/>
      </w:pPr>
      <w:r>
        <w:t xml:space="preserve">A critical paradox exists: while Bangladesh's legal framework is constitutionally robust, the practical efficacy of the profession in Dhaka remains compromised by three interlocking crises. First, systemic judicial delays (averaging 8–10 years for civil cases) directly burden</w:t>
      </w:r>
      <w:r>
        <w:t xml:space="preserve"> </w:t>
      </w:r>
      <w:r>
        <w:rPr>
          <w:bCs/>
          <w:b/>
        </w:rPr>
        <w:t xml:space="preserve">Lawyer</w:t>
      </w:r>
      <w:r>
        <w:t xml:space="preserve">s with unsustainable workloads. Second, socioeconomic barriers limit access to justice for 70% of Dhaka's urban poor, creating ethical dilemmas for counsel representing marginalized clients. Third, the profession lacks institutional support structures—only 8% of Dhaka-based lawyers report adequate continuing legal education opportunities (Bar Council Survey, 2023). This research interrogates whether these challenges fundamentally undermine the</w:t>
      </w:r>
      <w:r>
        <w:t xml:space="preserve"> </w:t>
      </w:r>
      <w:r>
        <w:rPr>
          <w:bCs/>
          <w:b/>
        </w:rPr>
        <w:t xml:space="preserve">Lawyer</w:t>
      </w:r>
      <w:r>
        <w:t xml:space="preserve">'s constitutional role as a guardian of justice in Bangladesh Dhaka.</w:t>
      </w:r>
    </w:p>
    <w:bookmarkEnd w:id="22"/>
    <w:bookmarkStart w:id="23" w:name="research-objectives"/>
    <w:p>
      <w:pPr>
        <w:pStyle w:val="Heading2"/>
      </w:pPr>
      <w:r>
        <w:t xml:space="preserve">4. Research Objectives</w:t>
      </w:r>
    </w:p>
    <w:p>
      <w:pPr>
        <w:numPr>
          <w:ilvl w:val="0"/>
          <w:numId w:val="1001"/>
        </w:numPr>
        <w:pStyle w:val="Compact"/>
      </w:pPr>
      <w:r>
        <w:t xml:space="preserve">To quantify and categorize primary challenges (procedural, ethical, resource-based) faced by lawyers practicing within Dhaka's judicial districts.</w:t>
      </w:r>
    </w:p>
    <w:p>
      <w:pPr>
        <w:numPr>
          <w:ilvl w:val="0"/>
          <w:numId w:val="1001"/>
        </w:numPr>
        <w:pStyle w:val="Compact"/>
      </w:pPr>
      <w:r>
        <w:t xml:space="preserve">To evaluate the socio-economic impact of these challenges on clients from low-income communities in Dhaka City.</w:t>
      </w:r>
    </w:p>
    <w:p>
      <w:pPr>
        <w:numPr>
          <w:ilvl w:val="0"/>
          <w:numId w:val="1001"/>
        </w:numPr>
        <w:pStyle w:val="Compact"/>
      </w:pPr>
      <w:r>
        <w:t xml:space="preserve">To assess the efficacy of existing Bar Council initiatives in supporting lawyers' professional development and ethical practice in Bangladesh Dhaka.</w:t>
      </w:r>
    </w:p>
    <w:p>
      <w:pPr>
        <w:numPr>
          <w:ilvl w:val="0"/>
          <w:numId w:val="1001"/>
        </w:numPr>
        <w:pStyle w:val="Compact"/>
      </w:pPr>
      <w:r>
        <w:t xml:space="preserve">To develop a context-specific framework for modernizing legal service delivery that preserves constitutional integrity while addressing urban realities.</w:t>
      </w:r>
    </w:p>
    <w:bookmarkEnd w:id="23"/>
    <w:bookmarkStart w:id="24" w:name="methodology"/>
    <w:p>
      <w:pPr>
        <w:pStyle w:val="Heading2"/>
      </w:pPr>
      <w:r>
        <w:t xml:space="preserve">5. Methodology</w:t>
      </w:r>
    </w:p>
    <w:p>
      <w:pPr>
        <w:pStyle w:val="FirstParagraph"/>
      </w:pPr>
      <w:r>
        <w:t xml:space="preserve">This mixed-methods study employs triangulation across three phases. Phase 1 involves a stratified survey of 400 practicing lawyers across Dhaka's four High Court divisions (Dhaka, Dhaka South, Dhaka North, and Old Court), using structured questionnaires to capture quantitative data on caseload pressures and resource constraints. Phase 2 consists of in-depth semi-structured interviews with 35 key informants: senior judges, Bar Association leaders, legal aid NGOs (e.g., Bangladesh Legal Aid Services Trust), and vulnerable clients from Dhaka's informal settlements. Phase 3 analyzes judicial records from the Dhaka High Court over the past five years to correlate case backlog patterns with lawyer workloads. Data will be processed using NVivo for qualitative coding and SPSS for statistical analysis, ensuring rigor in</w:t>
      </w:r>
      <w:r>
        <w:t xml:space="preserve"> </w:t>
      </w:r>
      <w:r>
        <w:rPr>
          <w:bCs/>
          <w:b/>
        </w:rPr>
        <w:t xml:space="preserve">Bangladesh Dhaka</w:t>
      </w:r>
      <w:r>
        <w:t xml:space="preserve">'s specific 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evidence base on the contemporary lawyer experience in Dhaka, directly informing policymakers. Key expected outcomes include: (1) A comprehensive taxonomy of barriers facing legal practitioners, categorized by district court jurisdiction; (2) Client accessibility metrics demonstrating how poverty intersects with legal exclusion in urban Bangladesh; (3) Policy briefs for the Supreme Court's Legal Services Authority and Bangladesh Bar Council outlining scalable interventions. The significance extends beyond academia—by positioning the</w:t>
      </w:r>
      <w:r>
        <w:t xml:space="preserve"> </w:t>
      </w:r>
      <w:r>
        <w:rPr>
          <w:bCs/>
          <w:b/>
        </w:rPr>
        <w:t xml:space="preserve">Lawyer</w:t>
      </w:r>
      <w:r>
        <w:t xml:space="preserve"> </w:t>
      </w:r>
      <w:r>
        <w:t xml:space="preserve">as central to justice delivery, this work challenges the misconception that legal reform is merely about judicial infrastructure. It will establish Dhaka as a model for understanding lawyer-centric urban justice systems in Global South megacities.</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1–2: Ethical clearance, survey design, and stakeholder mapping in Dhaka</w:t>
            </w:r>
          </w:p>
        </w:tc>
      </w:tr>
      <w:tr>
        <w:tc>
          <w:tcPr/>
          <w:p>
            <w:pPr>
              <w:pStyle w:val="Compact"/>
              <w:jc w:val="left"/>
            </w:pPr>
            <w:r>
              <w:t xml:space="preserve">Month 3–5: Survey administration across Dhaka's judicial zones</w:t>
            </w:r>
          </w:p>
        </w:tc>
      </w:tr>
      <w:tr>
        <w:tc>
          <w:tcPr/>
          <w:p>
            <w:pPr>
              <w:pStyle w:val="Compact"/>
              <w:jc w:val="left"/>
            </w:pPr>
            <w:r>
              <w:t xml:space="preserve">Month 6: Key informant interviews with judges and NGO representatives</w:t>
            </w:r>
          </w:p>
        </w:tc>
      </w:tr>
      <w:tr>
        <w:tc>
          <w:tcPr/>
          <w:p>
            <w:pPr>
              <w:pStyle w:val="Compact"/>
              <w:jc w:val="left"/>
            </w:pPr>
            <w:r>
              <w:t xml:space="preserve">Month 7–8: Judicial record analysis and data synthesis</w:t>
            </w:r>
          </w:p>
        </w:tc>
      </w:tr>
      <w:tr>
        <w:tc>
          <w:tcPr/>
          <w:p>
            <w:pPr>
              <w:pStyle w:val="Compact"/>
              <w:jc w:val="left"/>
            </w:pPr>
            <w:r>
              <w:t xml:space="preserve">Month 9–10: Drafting policy recommendations for Dhaka Bar Council</w:t>
            </w:r>
          </w:p>
        </w:tc>
      </w:tr>
      <w:tr>
        <w:tc>
          <w:tcPr/>
          <w:p>
            <w:pPr>
              <w:pStyle w:val="Compact"/>
              <w:jc w:val="left"/>
            </w:pPr>
            <w:r>
              <w:t xml:space="preserve">Month 11: Final report submission and stakeholder workshop in Dhaka</w:t>
            </w:r>
          </w:p>
        </w:tc>
      </w:tr>
    </w:tbl>
    <w:bookmarkEnd w:id="26"/>
    <w:bookmarkStart w:id="27" w:name="conclusion"/>
    <w:p>
      <w:pPr>
        <w:pStyle w:val="Heading2"/>
      </w:pPr>
      <w:r>
        <w:t xml:space="preserve">8. Conclusion</w:t>
      </w:r>
    </w:p>
    <w:p>
      <w:pPr>
        <w:pStyle w:val="FirstParagraph"/>
      </w:pPr>
      <w:r>
        <w:t xml:space="preserve">The trajectory of justice in Bangladesh is inseparable from the resilience of its lawyers operating within Dhaka's complex urban landscape. This</w:t>
      </w:r>
      <w:r>
        <w:t xml:space="preserve"> </w:t>
      </w:r>
      <w:r>
        <w:rPr>
          <w:bCs/>
          <w:b/>
        </w:rPr>
        <w:t xml:space="preserve">Research Proposal</w:t>
      </w:r>
      <w:r>
        <w:t xml:space="preserve"> </w:t>
      </w:r>
      <w:r>
        <w:t xml:space="preserve">asserts that understanding the lived reality of a</w:t>
      </w:r>
      <w:r>
        <w:t xml:space="preserve"> </w:t>
      </w:r>
      <w:r>
        <w:rPr>
          <w:bCs/>
          <w:b/>
        </w:rPr>
        <w:t xml:space="preserve">Lawyer</w:t>
      </w:r>
      <w:r>
        <w:t xml:space="preserve"> </w:t>
      </w:r>
      <w:r>
        <w:t xml:space="preserve">in Bangladesh Dhaka is not merely an academic pursuit—it is a prerequisite for meaningful legal reform. As Dhaka grapples with becoming a "smart city," its legal ecosystem must evolve from reactive to proactive, ensuring that the profession's integrity sustains democracy amid rapid change. By centering the</w:t>
      </w:r>
      <w:r>
        <w:t xml:space="preserve"> </w:t>
      </w:r>
      <w:r>
        <w:rPr>
          <w:bCs/>
          <w:b/>
        </w:rPr>
        <w:t xml:space="preserve">Lawyer</w:t>
      </w:r>
      <w:r>
        <w:t xml:space="preserve">'s voice in this analysis, we move beyond theoretical discourse toward actionable solutions for a justice system that truly serves all citizens of Bangladesh Dhaka.</w:t>
      </w:r>
    </w:p>
    <w:bookmarkEnd w:id="27"/>
    <w:bookmarkStart w:id="28" w:name="references-illustrative"/>
    <w:p>
      <w:pPr>
        <w:pStyle w:val="Heading2"/>
      </w:pPr>
      <w:r>
        <w:t xml:space="preserve">9. References (Illustrative)</w:t>
      </w:r>
    </w:p>
    <w:p>
      <w:pPr>
        <w:numPr>
          <w:ilvl w:val="0"/>
          <w:numId w:val="1002"/>
        </w:numPr>
        <w:pStyle w:val="Compact"/>
      </w:pPr>
      <w:r>
        <w:t xml:space="preserve">Bar Council of Bangladesh. (2023). *Annual Survey on Legal Profession in Dhaka*. Dhaka: Bar Council Press.</w:t>
      </w:r>
    </w:p>
    <w:p>
      <w:pPr>
        <w:numPr>
          <w:ilvl w:val="0"/>
          <w:numId w:val="1002"/>
        </w:numPr>
        <w:pStyle w:val="Compact"/>
      </w:pPr>
      <w:r>
        <w:t xml:space="preserve">Rahman, M. S. (2018). "Urban Justice Access in South Asia." *Journal of Legal Development*, 45(2), 112–134.</w:t>
      </w:r>
    </w:p>
    <w:p>
      <w:pPr>
        <w:numPr>
          <w:ilvl w:val="0"/>
          <w:numId w:val="1002"/>
        </w:numPr>
        <w:pStyle w:val="Compact"/>
      </w:pPr>
      <w:r>
        <w:t xml:space="preserve">Supreme Court of Bangladesh. (2023). *Case Backlog Statistics: High Court Division*. Dhaka Judicial Reports.</w:t>
      </w:r>
    </w:p>
    <w:p>
      <w:pPr>
        <w:numPr>
          <w:ilvl w:val="0"/>
          <w:numId w:val="1002"/>
        </w:numPr>
        <w:pStyle w:val="Compact"/>
      </w:pPr>
      <w:r>
        <w:t xml:space="preserve">Hossain, T. (2020). "Lawyers and the State in Post-Colonial Bangladesh." *Asian Journal of Law and Society*, 7(1), 45–68.</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Lawyer Profession in Bangladesh Dhaka</dc:title>
  <dc:creator/>
  <dc:language>en</dc:language>
  <cp:keywords/>
  <dcterms:created xsi:type="dcterms:W3CDTF">2026-07-23T15:43:47Z</dcterms:created>
  <dcterms:modified xsi:type="dcterms:W3CDTF">2026-07-23T15:43:47Z</dcterms:modified>
</cp:coreProperties>
</file>

<file path=docProps/custom.xml><?xml version="1.0" encoding="utf-8"?>
<Properties xmlns="http://schemas.openxmlformats.org/officeDocument/2006/custom-properties" xmlns:vt="http://schemas.openxmlformats.org/officeDocument/2006/docPropsVTypes"/>
</file>