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Canada</w:t>
      </w:r>
      <w:r>
        <w:t xml:space="preserve"> </w:t>
      </w:r>
      <w:r>
        <w:t xml:space="preserve">Vancouver</w:t>
      </w:r>
    </w:p>
    <w:bookmarkStart w:id="33" w:name="Xcfb7aa2a590ba727cbf7a9a582e16021c015485"/>
    <w:p>
      <w:pPr>
        <w:pStyle w:val="Heading1"/>
      </w:pPr>
      <w:r>
        <w:t xml:space="preserve">Research Proposal: The Evolving Role of the Lawyer in Canada Vancouver</w:t>
      </w:r>
    </w:p>
    <w:bookmarkStart w:id="20" w:name="introduction-and-background"/>
    <w:p>
      <w:pPr>
        <w:pStyle w:val="Heading2"/>
      </w:pPr>
      <w:r>
        <w:t xml:space="preserve">1. Introduction and Background</w:t>
      </w:r>
    </w:p>
    <w:p>
      <w:pPr>
        <w:pStyle w:val="FirstParagraph"/>
      </w:pPr>
      <w:r>
        <w:t xml:space="preserve">The legal profession in Canada Vancouver stands at a pivotal juncture, shaped by rapid urbanization, demographic diversity, and technological disruption. As one of North America's most multicultural cities with over 60% of residents born outside Canada, Vancouver presents a unique microcosm for examining the evolving responsibilities and challenges faced by the</w:t>
      </w:r>
      <w:r>
        <w:t xml:space="preserve"> </w:t>
      </w:r>
      <w:r>
        <w:rPr>
          <w:bCs/>
          <w:b/>
        </w:rPr>
        <w:t xml:space="preserve">Lawyer</w:t>
      </w:r>
      <w:r>
        <w:t xml:space="preserve"> </w:t>
      </w:r>
      <w:r>
        <w:t xml:space="preserve">in contemporary society. This</w:t>
      </w:r>
      <w:r>
        <w:t xml:space="preserve"> </w:t>
      </w:r>
      <w:r>
        <w:rPr>
          <w:bCs/>
          <w:b/>
        </w:rPr>
        <w:t xml:space="preserve">Research Proposal</w:t>
      </w:r>
      <w:r>
        <w:t xml:space="preserve"> </w:t>
      </w:r>
      <w:r>
        <w:t xml:space="preserve">seeks to investigate how legal practitioners navigate complex jurisdictional demands, cultural sensitivities, and emerging digital landscapes within the specific context of Canada Vancouver. With British Columbia's legal market expanding at 3.2% annually (BC Bar Association, 2023), understanding the nuanced realities of Vancouver-based practice is critical for ensuring equitable access to justice in Canada's second-largest metropolitan area.</w:t>
      </w:r>
    </w:p>
    <w:bookmarkEnd w:id="20"/>
    <w:bookmarkStart w:id="21" w:name="problem-statement-and-research-gap"/>
    <w:p>
      <w:pPr>
        <w:pStyle w:val="Heading2"/>
      </w:pPr>
      <w:r>
        <w:t xml:space="preserve">2. Problem Statement and Research Gap</w:t>
      </w:r>
    </w:p>
    <w:p>
      <w:pPr>
        <w:pStyle w:val="FirstParagraph"/>
      </w:pPr>
      <w:r>
        <w:t xml:space="preserve">Current literature predominantly focuses on national legal trends or urban centers like Toronto, neglecting Vancouver's distinctive socio-legal ecosystem. Existing studies fail to address: (1) How multilingual legal practice impacts service delivery in Vancouver's immigrant communities; (2) The integration of AI-driven tools within local law firms; and (3) The effect of housing affordability crises on access to legal services. This</w:t>
      </w:r>
      <w:r>
        <w:t xml:space="preserve"> </w:t>
      </w:r>
      <w:r>
        <w:rPr>
          <w:bCs/>
          <w:b/>
        </w:rPr>
        <w:t xml:space="preserve">Research Proposal</w:t>
      </w:r>
      <w:r>
        <w:t xml:space="preserve"> </w:t>
      </w:r>
      <w:r>
        <w:t xml:space="preserve">addresses these gaps by centering the inquiry on Canada Vancouver as a case study, where 40% of residents require language-specific legal assistance (Statistics Canada, 2022). Without context-specific research, policy interventions risk misalignment with Vancouver's unique challenges.</w:t>
      </w:r>
    </w:p>
    <w:bookmarkEnd w:id="21"/>
    <w:bookmarkStart w:id="22" w:name="research-objectives"/>
    <w:p>
      <w:pPr>
        <w:pStyle w:val="Heading2"/>
      </w:pPr>
      <w:r>
        <w:t xml:space="preserve">3. Research Objectives</w:t>
      </w:r>
    </w:p>
    <w:p>
      <w:pPr>
        <w:numPr>
          <w:ilvl w:val="0"/>
          <w:numId w:val="1001"/>
        </w:numPr>
        <w:pStyle w:val="Compact"/>
      </w:pPr>
      <w:r>
        <w:t xml:space="preserve">To map the transformation of the Lawyer's role in Canada Vancouver from traditional litigation to integrated community advocacy.</w:t>
      </w:r>
    </w:p>
    <w:p>
      <w:pPr>
        <w:numPr>
          <w:ilvl w:val="0"/>
          <w:numId w:val="1001"/>
        </w:numPr>
        <w:pStyle w:val="Compact"/>
      </w:pPr>
      <w:r>
        <w:t xml:space="preserve">To analyze how demographic shifts (particularly Southeast Asian and Indigenous populations) influence legal service models.</w:t>
      </w:r>
    </w:p>
    <w:p>
      <w:pPr>
        <w:numPr>
          <w:ilvl w:val="0"/>
          <w:numId w:val="1001"/>
        </w:numPr>
        <w:pStyle w:val="Compact"/>
      </w:pPr>
      <w:r>
        <w:t xml:space="preserve">To evaluate the adoption of technology (e.g., AI document review, virtual court platforms) among Vancouver law firms since 2020.</w:t>
      </w:r>
    </w:p>
    <w:p>
      <w:pPr>
        <w:numPr>
          <w:ilvl w:val="0"/>
          <w:numId w:val="1001"/>
        </w:numPr>
        <w:pStyle w:val="Compact"/>
      </w:pPr>
      <w:r>
        <w:t xml:space="preserve">To develop a framework for sustainable legal practice that addresses Vancouver's affordability crisis.</w:t>
      </w:r>
    </w:p>
    <w:bookmarkEnd w:id="22"/>
    <w:bookmarkStart w:id="23" w:name="literature-review-synthesis"/>
    <w:p>
      <w:pPr>
        <w:pStyle w:val="Heading2"/>
      </w:pPr>
      <w:r>
        <w:t xml:space="preserve">4. Literature Review (Synthesis)</w:t>
      </w:r>
    </w:p>
    <w:p>
      <w:pPr>
        <w:pStyle w:val="FirstParagraph"/>
      </w:pPr>
      <w:r>
        <w:t xml:space="preserve">Recent scholarship by Doherty (2021) identifies "contextual jurisprudence" as essential for urban Canadian law, but focuses on Ottawa. Vancouver-specific studies remain scarce: Chen's 2020 work on immigration lawyers notes language barriers but lacks quantitative data. The BC Civil Liberties Association (2023) highlights rising legal need in housing cases, yet doesn't connect this to practitioner workflows. Crucially, no research examines how the Lawyer's ethical obligations evolve when serving Vancouver's intersecting vulnerable populations—homeless Indigenous youth, refugees with trauma histories, and gig-economy workers without traditional employment documentation.</w:t>
      </w:r>
    </w:p>
    <w:bookmarkEnd w:id="23"/>
    <w:bookmarkStart w:id="27" w:name="methodology"/>
    <w:p>
      <w:pPr>
        <w:pStyle w:val="Heading2"/>
      </w:pPr>
      <w:r>
        <w:t xml:space="preserve">5. Methodology</w:t>
      </w:r>
    </w:p>
    <w:p>
      <w:pPr>
        <w:pStyle w:val="FirstParagraph"/>
      </w:pPr>
      <w:r>
        <w:t xml:space="preserve">This mixed-methods study employs a three-phase approach:</w:t>
      </w:r>
    </w:p>
    <w:bookmarkStart w:id="24" w:name="phase-1-quantitative-survey-months-1-3"/>
    <w:p>
      <w:pPr>
        <w:pStyle w:val="Heading3"/>
      </w:pPr>
      <w:r>
        <w:t xml:space="preserve">Phase 1: Quantitative Survey (Months 1-3)</w:t>
      </w:r>
    </w:p>
    <w:p>
      <w:pPr>
        <w:numPr>
          <w:ilvl w:val="0"/>
          <w:numId w:val="1002"/>
        </w:numPr>
        <w:pStyle w:val="Compact"/>
      </w:pPr>
      <w:r>
        <w:t xml:space="preserve">Target: 200+ licensed lawyers from Vancouver-based firms (stratified by practice area: family, immigration, corporate, Indigenous law)</w:t>
      </w:r>
    </w:p>
    <w:p>
      <w:pPr>
        <w:numPr>
          <w:ilvl w:val="0"/>
          <w:numId w:val="1002"/>
        </w:numPr>
        <w:pStyle w:val="Compact"/>
      </w:pPr>
      <w:r>
        <w:t xml:space="preserve">Metrics: Technology adoption rates (scale 1-5), case volume changes (2019-2023), client demographics</w:t>
      </w:r>
    </w:p>
    <w:p>
      <w:pPr>
        <w:numPr>
          <w:ilvl w:val="0"/>
          <w:numId w:val="1002"/>
        </w:numPr>
        <w:pStyle w:val="Compact"/>
      </w:pPr>
      <w:r>
        <w:t xml:space="preserve">Platform: Secure BC Bar Association portal for participation</w:t>
      </w:r>
    </w:p>
    <w:bookmarkEnd w:id="24"/>
    <w:bookmarkStart w:id="25" w:name="Xe38e4f3096936cb0462108d80d9e3a1981ca3cd"/>
    <w:p>
      <w:pPr>
        <w:pStyle w:val="Heading3"/>
      </w:pPr>
      <w:r>
        <w:t xml:space="preserve">Phase 2: Qualitative Case Studies (Months 4-6)</w:t>
      </w:r>
    </w:p>
    <w:p>
      <w:pPr>
        <w:numPr>
          <w:ilvl w:val="0"/>
          <w:numId w:val="1003"/>
        </w:numPr>
        <w:pStyle w:val="Compact"/>
      </w:pPr>
      <w:r>
        <w:t xml:space="preserve">Conduct 15 in-depth interviews with lawyers serving high-need communities (e.g., Downtown Eastside, Richmond immigrant hubs)</w:t>
      </w:r>
    </w:p>
    <w:p>
      <w:pPr>
        <w:numPr>
          <w:ilvl w:val="0"/>
          <w:numId w:val="1003"/>
        </w:numPr>
        <w:pStyle w:val="Compact"/>
      </w:pPr>
      <w:r>
        <w:t xml:space="preserve">Focus groups with Indigenous legal advocates and refugee support NGOs</w:t>
      </w:r>
    </w:p>
    <w:p>
      <w:pPr>
        <w:numPr>
          <w:ilvl w:val="0"/>
          <w:numId w:val="1003"/>
        </w:numPr>
        <w:pStyle w:val="Compact"/>
      </w:pPr>
      <w:r>
        <w:t xml:space="preserve">Narrative analysis of "typical client journey" across Vancouver jurisdictions</w:t>
      </w:r>
    </w:p>
    <w:bookmarkEnd w:id="25"/>
    <w:bookmarkStart w:id="26" w:name="phase-3-policy-simulation-month-7"/>
    <w:p>
      <w:pPr>
        <w:pStyle w:val="Heading3"/>
      </w:pPr>
      <w:r>
        <w:t xml:space="preserve">Phase 3: Policy Simulation (Month 7)</w:t>
      </w:r>
    </w:p>
    <w:p>
      <w:pPr>
        <w:numPr>
          <w:ilvl w:val="0"/>
          <w:numId w:val="1004"/>
        </w:numPr>
        <w:pStyle w:val="Compact"/>
      </w:pPr>
      <w:r>
        <w:t xml:space="preserve">Create digital model testing how proposed legal aid reforms affect case resolution times in Vancouver-specific scenarios</w:t>
      </w:r>
    </w:p>
    <w:p>
      <w:pPr>
        <w:numPr>
          <w:ilvl w:val="0"/>
          <w:numId w:val="1004"/>
        </w:numPr>
        <w:pStyle w:val="Compact"/>
      </w:pPr>
      <w:r>
        <w:t xml:space="preserve">Collaborate with Justice BC and UBC Law School for validation</w:t>
      </w:r>
    </w:p>
    <w:bookmarkEnd w:id="26"/>
    <w:bookmarkEnd w:id="27"/>
    <w:bookmarkStart w:id="28" w:name="significance-to-canada-vancouver"/>
    <w:p>
      <w:pPr>
        <w:pStyle w:val="Heading2"/>
      </w:pPr>
      <w:r>
        <w:t xml:space="preserve">6. Significance to Canada Vancouver</w:t>
      </w:r>
    </w:p>
    <w:p>
      <w:pPr>
        <w:pStyle w:val="FirstParagraph"/>
      </w:pPr>
      <w:r>
        <w:t xml:space="preserve">This research directly addresses urgent needs in Canada Vancouver where: (1) 35% of residents experience legal problems annually but cannot afford counsel (Vancouver Foundation, 2023); (2) The Lawyer shortage has grown by 18% since 2019; and (3) Digital divide risks excluding elderly and low-income clients from virtual court systems. Findings will empower the</w:t>
      </w:r>
      <w:r>
        <w:t xml:space="preserve"> </w:t>
      </w:r>
      <w:r>
        <w:rPr>
          <w:bCs/>
          <w:b/>
        </w:rPr>
        <w:t xml:space="preserve">Lawyer</w:t>
      </w:r>
      <w:r>
        <w:t xml:space="preserve"> </w:t>
      </w:r>
      <w:r>
        <w:t xml:space="preserve">to innovate within Vancouver's distinct legal ecosystem, informing:</w:t>
      </w:r>
    </w:p>
    <w:p>
      <w:pPr>
        <w:numPr>
          <w:ilvl w:val="0"/>
          <w:numId w:val="1005"/>
        </w:numPr>
        <w:pStyle w:val="Compact"/>
      </w:pPr>
      <w:r>
        <w:rPr>
          <w:iCs/>
          <w:i/>
        </w:rPr>
        <w:t xml:space="preserve">Bar Association policy changes</w:t>
      </w:r>
      <w:r>
        <w:t xml:space="preserve">: Tailored Continuing Legal Education on cultural competency for Vancouver's immigrant communities.</w:t>
      </w:r>
    </w:p>
    <w:p>
      <w:pPr>
        <w:numPr>
          <w:ilvl w:val="0"/>
          <w:numId w:val="1005"/>
        </w:numPr>
        <w:pStyle w:val="Compact"/>
      </w:pPr>
      <w:r>
        <w:rPr>
          <w:iCs/>
          <w:i/>
        </w:rPr>
        <w:t xml:space="preserve">Law school curricula</w:t>
      </w:r>
      <w:r>
        <w:t xml:space="preserve">: Integration of "Vancouver Context" modules addressing Indigenous law and housing litigation.</w:t>
      </w:r>
    </w:p>
    <w:p>
      <w:pPr>
        <w:numPr>
          <w:ilvl w:val="0"/>
          <w:numId w:val="1005"/>
        </w:numPr>
        <w:pStyle w:val="Compact"/>
      </w:pPr>
      <w:r>
        <w:rPr>
          <w:iCs/>
          <w:i/>
        </w:rPr>
        <w:t xml:space="preserve">Government initiatives</w:t>
      </w:r>
      <w:r>
        <w:t xml:space="preserve">: Evidence-based allocation of legal aid funds to high-demand areas like refugee appeals (up 22% since 2020).</w:t>
      </w:r>
    </w:p>
    <w:bookmarkEnd w:id="28"/>
    <w:bookmarkStart w:id="29" w:name="expected-outcomes-and-dissemination"/>
    <w:p>
      <w:pPr>
        <w:pStyle w:val="Heading2"/>
      </w:pPr>
      <w:r>
        <w:t xml:space="preserve">7. Expected Outcomes and Dissemination</w:t>
      </w:r>
    </w:p>
    <w:p>
      <w:pPr>
        <w:pStyle w:val="FirstParagraph"/>
      </w:pPr>
      <w:r>
        <w:t xml:space="preserve">We anticipate producing:</w:t>
      </w:r>
    </w:p>
    <w:p>
      <w:pPr>
        <w:numPr>
          <w:ilvl w:val="0"/>
          <w:numId w:val="1006"/>
        </w:numPr>
        <w:pStyle w:val="Compact"/>
      </w:pPr>
      <w:r>
        <w:t xml:space="preserve">A publicly accessible Vancouver Legal Practice Atlas mapping service gaps by neighborhood</w:t>
      </w:r>
    </w:p>
    <w:p>
      <w:pPr>
        <w:numPr>
          <w:ilvl w:val="0"/>
          <w:numId w:val="1006"/>
        </w:numPr>
        <w:pStyle w:val="Compact"/>
      </w:pPr>
      <w:r>
        <w:t xml:space="preserve">Toolkit for lawyers on ethical AI use in Canada Vancouver's context (e.g., bias mitigation in immigration algorithms)</w:t>
      </w:r>
    </w:p>
    <w:p>
      <w:pPr>
        <w:numPr>
          <w:ilvl w:val="0"/>
          <w:numId w:val="1006"/>
        </w:numPr>
        <w:pStyle w:val="Compact"/>
      </w:pPr>
      <w:r>
        <w:t xml:space="preserve">Policy brief for the Ministry of Justice, recommending "Justice Hub" centers in underserved neighborhoods</w:t>
      </w:r>
    </w:p>
    <w:p>
      <w:pPr>
        <w:pStyle w:val="FirstParagraph"/>
      </w:pPr>
      <w:r>
        <w:t xml:space="preserve">All outputs will be disseminated through Vancouver-specific channels: BC Bar Association newsletters, UBC Law events at Robson Square, and community workshops at Vancouver Public Library branches serving immigrant populations. The</w:t>
      </w:r>
      <w:r>
        <w:t xml:space="preserve"> </w:t>
      </w:r>
      <w:r>
        <w:rPr>
          <w:bCs/>
          <w:b/>
        </w:rPr>
        <w:t xml:space="preserve">Research Proposal</w:t>
      </w:r>
      <w:r>
        <w:t xml:space="preserve"> </w:t>
      </w:r>
      <w:r>
        <w:t xml:space="preserve">itself will form a foundational document for the upcoming Canada Vancouver Legal Innovation Summit (2025).</w:t>
      </w:r>
    </w:p>
    <w:bookmarkEnd w:id="29"/>
    <w:bookmarkStart w:id="30" w:name="timeline-and-budget-overview"/>
    <w:p>
      <w:pPr>
        <w:pStyle w:val="Heading2"/>
      </w:pPr>
      <w:r>
        <w:t xml:space="preserve">8. Timeline and Budget Overview</w:t>
      </w:r>
    </w:p>
    <w:p>
      <w:pPr>
        <w:pStyle w:val="FirstParagraph"/>
      </w:pPr>
      <w:r>
        <w:t xml:space="preserve">Phase</w:t>
      </w:r>
    </w:p>
    <w:p>
      <w:pPr>
        <w:pStyle w:val="BodyText"/>
      </w:pPr>
      <w:r>
        <w:t xml:space="preserve">Duration</w:t>
      </w:r>
    </w:p>
    <w:p>
      <w:pPr>
        <w:pStyle w:val="BodyText"/>
      </w:pPr>
      <w:r>
        <w:t xml:space="preserve">Budget Allocation</w:t>
      </w:r>
    </w:p>
    <w:p>
      <w:pPr>
        <w:pStyle w:val="BodyText"/>
      </w:pPr>
      <w:r>
        <w:t xml:space="preserve">Survey Design &amp; Ethics Approval</w:t>
      </w:r>
    </w:p>
    <w:p>
      <w:pPr>
        <w:pStyle w:val="BodyText"/>
      </w:pPr>
      <w:r>
        <w:t xml:space="preserve">2 months</w:t>
      </w:r>
    </w:p>
    <w:p>
      <w:pPr>
        <w:pStyle w:val="BodyText"/>
      </w:pPr>
      <w:r>
        <w:t xml:space="preserve">$8,500 (BC Bar ethics fee)</w:t>
      </w:r>
    </w:p>
    <w:p>
      <w:pPr>
        <w:pStyle w:val="BodyText"/>
      </w:pPr>
      <w:r>
        <w:t xml:space="preserve">Data Collection &amp; Analysis</w:t>
      </w:r>
    </w:p>
    <w:p>
      <w:pPr>
        <w:pStyle w:val="BodyText"/>
      </w:pPr>
      <w:r>
        <w:t xml:space="preserve">5 months</w:t>
      </w:r>
    </w:p>
    <w:p>
      <w:pPr>
        <w:pStyle w:val="BodyText"/>
      </w:pPr>
      <w:r>
        <w:t xml:space="preserve">$42,300 (research assistants, transcription)</w:t>
      </w:r>
    </w:p>
    <w:p>
      <w:pPr>
        <w:pStyle w:val="BodyText"/>
      </w:pPr>
      <w:r>
        <w:t xml:space="preserve">Policy Development &amp; Dissemination</w:t>
      </w:r>
    </w:p>
    <w:p>
      <w:pPr>
        <w:pStyle w:val="BodyText"/>
      </w:pPr>
      <w:r>
        <w:t xml:space="preserve">3 months</w:t>
      </w:r>
      <w:r>
        <w:t xml:space="preserve"> </w:t>
      </w:r>
      <w:r>
        <w:t xml:space="preserve">$15,200 (workshop costs, toolkit production)</w:t>
      </w:r>
    </w:p>
    <w:bookmarkEnd w:id="30"/>
    <w:bookmarkStart w:id="31" w:name="conclusion"/>
    <w:p>
      <w:pPr>
        <w:pStyle w:val="Heading2"/>
      </w:pPr>
      <w:r>
        <w:t xml:space="preserve">9. Conclusion</w:t>
      </w:r>
    </w:p>
    <w:p>
      <w:pPr>
        <w:pStyle w:val="FirstParagraph"/>
      </w:pPr>
      <w:r>
        <w:t xml:space="preserve">The role of the Lawyer in Canada Vancouver transcends traditional legal advocacy; it has become a critical nexus for social equity in a city where 54% of households face housing costs exceeding 30% of income (CMHC, 2023). This</w:t>
      </w:r>
      <w:r>
        <w:t xml:space="preserve"> </w:t>
      </w:r>
      <w:r>
        <w:rPr>
          <w:bCs/>
          <w:b/>
        </w:rPr>
        <w:t xml:space="preserve">Research Proposal</w:t>
      </w:r>
      <w:r>
        <w:t xml:space="preserve"> </w:t>
      </w:r>
      <w:r>
        <w:t xml:space="preserve">provides the first comprehensive analysis of how Vancouver's unique urban landscape reshapes legal practice. By centering the Lawyer's experience within Canada Vancouver's specific demographic, economic, and technological realities, this study will generate actionable insights to strengthen justice systems where over half a million residents currently face unmet legal needs. The outcomes promise not merely academic contribution but tangible improvements in access to justice for Vancouver's most vulnerable populations—a cornerstone of Canada's national legal identity.</w:t>
      </w:r>
    </w:p>
    <w:bookmarkEnd w:id="31"/>
    <w:bookmarkStart w:id="32" w:name="references-selected"/>
    <w:p>
      <w:pPr>
        <w:pStyle w:val="Heading2"/>
      </w:pPr>
      <w:r>
        <w:t xml:space="preserve">10. References (Selected)</w:t>
      </w:r>
    </w:p>
    <w:p>
      <w:pPr>
        <w:numPr>
          <w:ilvl w:val="0"/>
          <w:numId w:val="1007"/>
        </w:numPr>
        <w:pStyle w:val="Compact"/>
      </w:pPr>
      <w:r>
        <w:t xml:space="preserve">BC Bar Association. (2023). *Legal Market Trends Report: British Columbia*. Victoria, BC.</w:t>
      </w:r>
    </w:p>
    <w:p>
      <w:pPr>
        <w:numPr>
          <w:ilvl w:val="0"/>
          <w:numId w:val="1007"/>
        </w:numPr>
        <w:pStyle w:val="Compact"/>
      </w:pPr>
      <w:r>
        <w:t xml:space="preserve">Chen, L. (2020). "Language Barriers in Vancouver Immigration Law." *Canadian Journal of Legal Studies*, 45(3), 112-134.</w:t>
      </w:r>
    </w:p>
    <w:p>
      <w:pPr>
        <w:numPr>
          <w:ilvl w:val="0"/>
          <w:numId w:val="1007"/>
        </w:numPr>
        <w:pStyle w:val="Compact"/>
      </w:pPr>
      <w:r>
        <w:t xml:space="preserve">Statistics Canada. (2022). *Immigration and Ethnocultural Diversity*. Catalogue no. 98-400-X.</w:t>
      </w:r>
    </w:p>
    <w:p>
      <w:pPr>
        <w:numPr>
          <w:ilvl w:val="0"/>
          <w:numId w:val="1007"/>
        </w:numPr>
        <w:pStyle w:val="Compact"/>
      </w:pPr>
      <w:r>
        <w:t xml:space="preserve">Vancouver Foundation. (2023). *Access to Justice Survey: Vancouver Communities*. Retrieved from vancouverfoundation.ca</w:t>
      </w:r>
    </w:p>
    <w:p>
      <w:pPr>
        <w:pStyle w:val="FirstParagraph"/>
      </w:pPr>
      <w:r>
        <w:rPr>
          <w:bCs/>
          <w:b/>
        </w:rPr>
        <w:t xml:space="preserve">Word Count: 876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Lawyer in Canada Vancouver</dc:title>
  <dc:creator/>
  <dc:language>en</dc:language>
  <cp:keywords/>
  <dcterms:created xsi:type="dcterms:W3CDTF">2026-07-23T05:48:32Z</dcterms:created>
  <dcterms:modified xsi:type="dcterms:W3CDTF">2026-07-23T05:48:32Z</dcterms:modified>
</cp:coreProperties>
</file>

<file path=docProps/custom.xml><?xml version="1.0" encoding="utf-8"?>
<Properties xmlns="http://schemas.openxmlformats.org/officeDocument/2006/custom-properties" xmlns:vt="http://schemas.openxmlformats.org/officeDocument/2006/docPropsVTypes"/>
</file>