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Contemporary</w:t>
      </w:r>
      <w:r>
        <w:t xml:space="preserve"> </w:t>
      </w:r>
      <w:r>
        <w:t xml:space="preserve">China</w:t>
      </w:r>
      <w:r>
        <w:t xml:space="preserve"> </w:t>
      </w:r>
      <w:r>
        <w:t xml:space="preserve">Guangzhou</w:t>
      </w:r>
    </w:p>
    <w:bookmarkStart w:id="29" w:name="X75a146627880954e1dff19811a9fc703fa9713a"/>
    <w:p>
      <w:pPr>
        <w:pStyle w:val="Heading1"/>
      </w:pPr>
      <w:r>
        <w:t xml:space="preserve">Research Proposal: The Evolving Role of Lawyers in Contemporary China Guangzhou</w:t>
      </w:r>
    </w:p>
    <w:bookmarkStart w:id="20" w:name="introduction-and-background"/>
    <w:p>
      <w:pPr>
        <w:pStyle w:val="Heading2"/>
      </w:pPr>
      <w:r>
        <w:t xml:space="preserve">1. Introduction and Background</w:t>
      </w:r>
    </w:p>
    <w:p>
      <w:pPr>
        <w:pStyle w:val="FirstParagraph"/>
      </w:pPr>
      <w:r>
        <w:t xml:space="preserve">The rapid economic expansion of China Guangzhou, as a pivotal hub for international trade, manufacturing, and cross-border investment in southern China, has intensified the demand for sophisticated legal expertise. As one of the country's most dynamic metropolises—boasting the Pearl River Delta's largest port and hosting over 50% of multinational corporations operating in Guangdong Province—the city faces unprecedented complexity in commercial disputes, intellectual property protection, and regulatory compliance. This research proposal addresses a critical gap: an empirical study on the professional evolution of</w:t>
      </w:r>
      <w:r>
        <w:t xml:space="preserve"> </w:t>
      </w:r>
      <w:r>
        <w:rPr>
          <w:bCs/>
          <w:b/>
        </w:rPr>
        <w:t xml:space="preserve">Lawyer</w:t>
      </w:r>
      <w:r>
        <w:t xml:space="preserve">s within Guangzhou's unique legal ecosystem. While China's legal framework has undergone significant reforms since 1978, the practical realities for</w:t>
      </w:r>
      <w:r>
        <w:t xml:space="preserve"> </w:t>
      </w:r>
      <w:r>
        <w:rPr>
          <w:bCs/>
          <w:b/>
        </w:rPr>
        <w:t xml:space="preserve">Lawyer</w:t>
      </w:r>
      <w:r>
        <w:t xml:space="preserve">s operating in Guangzhou remain underexplored. This study positions itself as a foundational investigation into how local and international legal practitioners navigate the intersection of Chinese law, global business norms, and Guangzhou-specific economic dynamics.</w:t>
      </w:r>
    </w:p>
    <w:bookmarkEnd w:id="20"/>
    <w:bookmarkStart w:id="21" w:name="problem-statement"/>
    <w:p>
      <w:pPr>
        <w:pStyle w:val="Heading2"/>
      </w:pPr>
      <w:r>
        <w:t xml:space="preserve">2. Problem Statement</w:t>
      </w:r>
    </w:p>
    <w:p>
      <w:pPr>
        <w:pStyle w:val="FirstParagraph"/>
      </w:pPr>
      <w:r>
        <w:t xml:space="preserve">Despite Guangzhou's status as a national pilot zone for foreign investment liberalization (e.g., the China (Guangdong) Pilot Free Trade Zone), several systemic challenges impede effective legal service delivery by</w:t>
      </w:r>
      <w:r>
        <w:t xml:space="preserve"> </w:t>
      </w:r>
      <w:r>
        <w:rPr>
          <w:bCs/>
          <w:b/>
        </w:rPr>
        <w:t xml:space="preserve">Lawyer</w:t>
      </w:r>
      <w:r>
        <w:t xml:space="preserve">s:</w:t>
      </w:r>
    </w:p>
    <w:p>
      <w:pPr>
        <w:numPr>
          <w:ilvl w:val="0"/>
          <w:numId w:val="1001"/>
        </w:numPr>
        <w:pStyle w:val="Compact"/>
      </w:pPr>
      <w:r>
        <w:rPr>
          <w:iCs/>
          <w:i/>
        </w:rPr>
        <w:t xml:space="preserve">Regulatory Fragmentation</w:t>
      </w:r>
      <w:r>
        <w:t xml:space="preserve">: Divergent interpretations of national laws by local courts in Guangzhou create unpredictability for cross-border transactions.</w:t>
      </w:r>
    </w:p>
    <w:p>
      <w:pPr>
        <w:numPr>
          <w:ilvl w:val="0"/>
          <w:numId w:val="1001"/>
        </w:numPr>
        <w:pStyle w:val="Compact"/>
      </w:pPr>
      <w:r>
        <w:rPr>
          <w:iCs/>
          <w:i/>
        </w:rPr>
        <w:t xml:space="preserve">Cultural-Professional Barriers</w:t>
      </w:r>
      <w:r>
        <w:t xml:space="preserve">: Foreign law firms face restrictions under China's "Foreign Law Firm Office Registration" regulations, limiting collaboration with domestic</w:t>
      </w:r>
      <w:r>
        <w:t xml:space="preserve"> </w:t>
      </w:r>
      <w:r>
        <w:rPr>
          <w:bCs/>
          <w:b/>
        </w:rPr>
        <w:t xml:space="preserve">Lawyer</w:t>
      </w:r>
      <w:r>
        <w:t xml:space="preserve">s.</w:t>
      </w:r>
    </w:p>
    <w:p>
      <w:pPr>
        <w:numPr>
          <w:ilvl w:val="0"/>
          <w:numId w:val="1001"/>
        </w:numPr>
        <w:pStyle w:val="Compact"/>
      </w:pPr>
      <w:r>
        <w:rPr>
          <w:iCs/>
          <w:i/>
        </w:rPr>
        <w:t xml:space="preserve">Skill Gaps</w:t>
      </w:r>
      <w:r>
        <w:t xml:space="preserve">: 73% of Guangzhou-based legal professionals report inadequate training in emerging fields (e.g., fintech regulation, environmental compliance), per the 2023 Guangdong Bar Association Survey.</w:t>
      </w:r>
    </w:p>
    <w:p>
      <w:pPr>
        <w:pStyle w:val="FirstParagraph"/>
      </w:pPr>
      <w:r>
        <w:t xml:space="preserve">These issues threaten Guangzhou's competitiveness as a global business destination. Without evidence-based insights, policymakers cannot design targeted reforms to elevate the legal profession in China Guangzhou.</w:t>
      </w:r>
    </w:p>
    <w:bookmarkEnd w:id="21"/>
    <w:bookmarkStart w:id="22" w:name="research-objectives"/>
    <w:p>
      <w:pPr>
        <w:pStyle w:val="Heading2"/>
      </w:pPr>
      <w:r>
        <w:t xml:space="preserve">3. Research Objectives</w:t>
      </w:r>
    </w:p>
    <w:p>
      <w:pPr>
        <w:numPr>
          <w:ilvl w:val="0"/>
          <w:numId w:val="1002"/>
        </w:numPr>
        <w:pStyle w:val="Compact"/>
      </w:pPr>
      <w:r>
        <w:t xml:space="preserve">To map the current professional trajectory of lawyers across 15 major law firms in China Guangzhou, including foreign-invested and domestic practices.</w:t>
      </w:r>
    </w:p>
    <w:p>
      <w:pPr>
        <w:numPr>
          <w:ilvl w:val="0"/>
          <w:numId w:val="1002"/>
        </w:numPr>
        <w:pStyle w:val="Compact"/>
      </w:pPr>
      <w:r>
        <w:t xml:space="preserve">To identify sector-specific legal challenges (e.g., e-commerce disputes, IP litigation in Guangzhou's tech corridors) faced by</w:t>
      </w:r>
      <w:r>
        <w:t xml:space="preserve"> </w:t>
      </w:r>
      <w:r>
        <w:rPr>
          <w:bCs/>
          <w:b/>
        </w:rPr>
        <w:t xml:space="preserve">Lawyer</w:t>
      </w:r>
      <w:r>
        <w:t xml:space="preserve">s.</w:t>
      </w:r>
    </w:p>
    <w:p>
      <w:pPr>
        <w:numPr>
          <w:ilvl w:val="0"/>
          <w:numId w:val="1002"/>
        </w:numPr>
        <w:pStyle w:val="Compact"/>
      </w:pPr>
      <w:r>
        <w:t xml:space="preserve">To evaluate the impact of Guangzhou's "Rule of Law City" initiative on lawyer-client accessibility and case resolution efficiency.</w:t>
      </w:r>
    </w:p>
    <w:p>
      <w:pPr>
        <w:numPr>
          <w:ilvl w:val="0"/>
          <w:numId w:val="1002"/>
        </w:numPr>
        <w:pStyle w:val="Compact"/>
      </w:pPr>
      <w:r>
        <w:t xml:space="preserve">To develop a framework for enhancing legal education curricula at Sun Yat-sen University Law School to align with Guangzhou's economic priorities.</w:t>
      </w:r>
    </w:p>
    <w:bookmarkEnd w:id="22"/>
    <w:bookmarkStart w:id="23" w:name="literature-review-key-gaps-addressed"/>
    <w:p>
      <w:pPr>
        <w:pStyle w:val="Heading2"/>
      </w:pPr>
      <w:r>
        <w:t xml:space="preserve">4. Literature Review (Key Gaps Addressed)</w:t>
      </w:r>
    </w:p>
    <w:p>
      <w:pPr>
        <w:pStyle w:val="FirstParagraph"/>
      </w:pPr>
      <w:r>
        <w:t xml:space="preserve">Existing scholarship focuses broadly on China's legal system (e.g., Mullaney, 2019) or specific cases like Shanghai's financial hub development (Zhang, 2021). However, no study examines the nuanced daily realities of lawyers in Guangzhou. Critical gaps include:</w:t>
      </w:r>
    </w:p>
    <w:p>
      <w:pPr>
        <w:numPr>
          <w:ilvl w:val="0"/>
          <w:numId w:val="1003"/>
        </w:numPr>
        <w:pStyle w:val="Compact"/>
      </w:pPr>
      <w:r>
        <w:rPr>
          <w:iCs/>
          <w:i/>
        </w:rPr>
        <w:t xml:space="preserve">Geographic Specificity</w:t>
      </w:r>
      <w:r>
        <w:t xml:space="preserve">: Most research treats "China" as monolithic; Guangzhou’s proximity to Hong Kong and ASEAN markets creates distinct legal pressures.</w:t>
      </w:r>
    </w:p>
    <w:p>
      <w:pPr>
        <w:numPr>
          <w:ilvl w:val="0"/>
          <w:numId w:val="1003"/>
        </w:numPr>
        <w:pStyle w:val="Compact"/>
      </w:pPr>
      <w:r>
        <w:rPr>
          <w:iCs/>
          <w:i/>
        </w:rPr>
        <w:t xml:space="preserve">Professional Identity Shifts</w:t>
      </w:r>
      <w:r>
        <w:t xml:space="preserve">: The transition from state-appointed lawyers to independent practitioners in Guangzhou remains understudied (Wang, 2020).</w:t>
      </w:r>
    </w:p>
    <w:p>
      <w:pPr>
        <w:numPr>
          <w:ilvl w:val="0"/>
          <w:numId w:val="1003"/>
        </w:numPr>
        <w:pStyle w:val="Compact"/>
      </w:pPr>
      <w:r>
        <w:rPr>
          <w:iCs/>
          <w:i/>
        </w:rPr>
        <w:t xml:space="preserve">Technology Integration</w:t>
      </w:r>
      <w:r>
        <w:t xml:space="preserve">: Limited data exists on how AI-driven legal tools are adopted by Guangzhou-based</w:t>
      </w:r>
      <w:r>
        <w:t xml:space="preserve"> </w:t>
      </w:r>
      <w:r>
        <w:rPr>
          <w:bCs/>
          <w:b/>
        </w:rPr>
        <w:t xml:space="preserve">Lawyer</w:t>
      </w:r>
      <w:r>
        <w:t xml:space="preserve">s for resolving trade disputes.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4"/>
        </w:numPr>
        <w:pStyle w:val="Compact"/>
      </w:pPr>
      <w:r>
        <w:rPr>
          <w:iCs/>
          <w:i/>
        </w:rPr>
        <w:t xml:space="preserve">Semi-Structured Interviews (n=45)</w:t>
      </w:r>
      <w:r>
        <w:t xml:space="preserve">: Conducted with lawyers from Guangzhou's top 10 firms, including 15 foreign law partners and 30 domestic practitioners. Questions focus on case load trends, cross-border collaboration barriers, and regulatory pain points.</w:t>
      </w:r>
    </w:p>
    <w:p>
      <w:pPr>
        <w:numPr>
          <w:ilvl w:val="0"/>
          <w:numId w:val="1004"/>
        </w:numPr>
        <w:pStyle w:val="Compact"/>
      </w:pPr>
      <w:r>
        <w:rPr>
          <w:iCs/>
          <w:i/>
        </w:rPr>
        <w:t xml:space="preserve">Quantitative Survey</w:t>
      </w:r>
      <w:r>
        <w:t xml:space="preserve">: Distributed via the Guangzhou Lawyers Association to 500+ registered practitioners assessing skills gaps (using Likert-scale metrics) and client satisfaction indices.</w:t>
      </w:r>
    </w:p>
    <w:p>
      <w:pPr>
        <w:pStyle w:val="FirstParagraph"/>
      </w:pPr>
      <w:r>
        <w:t xml:space="preserve">Sampling prioritizes Guangzhou-specific contexts (e.g., lawyers handling trade with Vietnam or EU regulations) to ensure contextual validity. Ethical approval will be obtained from Sun Yat-sen University’s IRB, with all data anonymized.</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outputs:</w:t>
      </w:r>
    </w:p>
    <w:p>
      <w:pPr>
        <w:numPr>
          <w:ilvl w:val="0"/>
          <w:numId w:val="1005"/>
        </w:numPr>
        <w:pStyle w:val="Compact"/>
      </w:pPr>
      <w:r>
        <w:t xml:space="preserve">A comprehensive report detailing Guangzhou's "Legal Practice Index" for lawyers, benchmarking case resolution times against Shanghai and Beijing.</w:t>
      </w:r>
    </w:p>
    <w:p>
      <w:pPr>
        <w:numPr>
          <w:ilvl w:val="0"/>
          <w:numId w:val="1005"/>
        </w:numPr>
        <w:pStyle w:val="Compact"/>
      </w:pPr>
      <w:r>
        <w:t xml:space="preserve">A policy brief for the Guangdong Provincial Justice Department on streamlining foreign law firm operations in China Guangzhou.</w:t>
      </w:r>
    </w:p>
    <w:p>
      <w:pPr>
        <w:numPr>
          <w:ilvl w:val="0"/>
          <w:numId w:val="1005"/>
        </w:numPr>
        <w:pStyle w:val="Compact"/>
      </w:pPr>
      <w:r>
        <w:t xml:space="preserve">Proposed curricular reforms for Guangzhou’s legal education institutions, emphasizing ASEAN trade law and digital evidence standards.</w:t>
      </w:r>
    </w:p>
    <w:p>
      <w:pPr>
        <w:numPr>
          <w:ilvl w:val="0"/>
          <w:numId w:val="1005"/>
        </w:numPr>
        <w:pStyle w:val="Compact"/>
      </w:pPr>
      <w:r>
        <w:t xml:space="preserve">An open-access database of case studies highlighting successful legal strategies in Guangzhou's emerging sectors (e.g., green tech ventures).</w:t>
      </w:r>
    </w:p>
    <w:p>
      <w:pPr>
        <w:pStyle w:val="FirstParagraph"/>
      </w:pPr>
      <w:r>
        <w:t xml:space="preserve">The significance extends beyond academia: By clarifying the operational challenges for</w:t>
      </w:r>
      <w:r>
        <w:t xml:space="preserve"> </w:t>
      </w:r>
      <w:r>
        <w:rPr>
          <w:bCs/>
          <w:b/>
        </w:rPr>
        <w:t xml:space="preserve">Lawyer</w:t>
      </w:r>
      <w:r>
        <w:t xml:space="preserve">s in China Guangzhou, this work directly supports the city's 2035 "Global Legal Services Center" vision. It empowers practitioners to enhance service delivery, while providing policymakers with evidence to strengthen Guangzhou’s position as a preferred gateway for foreign investment in southern China.</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Month 1-2</w:t>
            </w:r>
          </w:p>
        </w:tc>
        <w:tc>
          <w:tcPr/>
          <w:p>
            <w:pPr>
              <w:pStyle w:val="Compact"/>
              <w:jc w:val="left"/>
            </w:pPr>
            <w:r>
              <w:t xml:space="preserve">Preliminary framework; interview protocols approved by Guangzhou Bar Association.</w:t>
            </w:r>
          </w:p>
        </w:tc>
      </w:tr>
      <w:tr>
        <w:tc>
          <w:tcPr/>
          <w:p>
            <w:pPr>
              <w:pStyle w:val="Compact"/>
              <w:jc w:val="left"/>
            </w:pPr>
            <w:r>
              <w:t xml:space="preserve">Data Collection (Interviews/Surveys)</w:t>
            </w:r>
          </w:p>
        </w:tc>
        <w:tc>
          <w:tcPr/>
          <w:p>
            <w:pPr>
              <w:pStyle w:val="Compact"/>
              <w:jc w:val="left"/>
            </w:pPr>
            <w:r>
              <w:t xml:space="preserve">Month 3-4</w:t>
            </w:r>
          </w:p>
        </w:tc>
        <w:tc>
          <w:tcPr/>
          <w:p>
            <w:pPr>
              <w:pStyle w:val="Compact"/>
              <w:jc w:val="left"/>
            </w:pPr>
            <w:r>
              <w:t xml:space="preserve">45 interviews completed; 500+ survey responses gathered.</w:t>
            </w:r>
          </w:p>
        </w:tc>
      </w:tr>
      <w:tr>
        <w:tc>
          <w:tcPr/>
          <w:p>
            <w:pPr>
              <w:pStyle w:val="Compact"/>
              <w:jc w:val="left"/>
            </w:pPr>
            <w:r>
              <w:t xml:space="preserve">Data Analysis &amp; Case Study Development</w:t>
            </w:r>
          </w:p>
        </w:tc>
        <w:tc>
          <w:tcPr/>
          <w:p>
            <w:pPr>
              <w:pStyle w:val="Compact"/>
              <w:jc w:val="left"/>
            </w:pPr>
            <w:r>
              <w:t xml:space="preserve">Month 5</w:t>
            </w:r>
          </w:p>
        </w:tc>
        <w:tc>
          <w:tcPr/>
          <w:p>
            <w:pPr>
              <w:pStyle w:val="Compact"/>
              <w:jc w:val="left"/>
            </w:pPr>
            <w:r>
              <w:t xml:space="preserve">Guanzhou Legal Practice Index draft; 10 sector-specific case studies.</w:t>
            </w:r>
          </w:p>
        </w:tc>
      </w:tr>
      <w:tr>
        <w:tc>
          <w:tcPr/>
          <w:p>
            <w:pPr>
              <w:pStyle w:val="Compact"/>
              <w:jc w:val="left"/>
            </w:pPr>
            <w:r>
              <w:t xml:space="preserve">Policy Briefing &amp; Dissemination</w:t>
            </w:r>
          </w:p>
        </w:tc>
        <w:tc>
          <w:tcPr/>
          <w:p>
            <w:pPr>
              <w:pStyle w:val="Compact"/>
              <w:jc w:val="left"/>
            </w:pPr>
            <w:r>
              <w:t xml:space="preserve">Month 6</w:t>
            </w:r>
          </w:p>
        </w:tc>
        <w:tc>
          <w:tcPr/>
          <w:p>
            <w:pPr>
              <w:pStyle w:val="Compact"/>
              <w:jc w:val="left"/>
            </w:pPr>
            <w:r>
              <w:t xml:space="preserve">Final report submitted to Guangdong Justice Department; academic publication submitted.</w:t>
            </w:r>
          </w:p>
        </w:tc>
      </w:tr>
    </w:tbl>
    <w:bookmarkEnd w:id="26"/>
    <w:bookmarkStart w:id="28" w:name="conclusion"/>
    <w:p>
      <w:pPr>
        <w:pStyle w:val="Heading2"/>
      </w:pPr>
      <w:r>
        <w:t xml:space="preserve">8. Conclusion</w:t>
      </w:r>
    </w:p>
    <w:p>
      <w:pPr>
        <w:pStyle w:val="FirstParagraph"/>
      </w:pPr>
      <w:r>
        <w:t xml:space="preserve">The trajectory of the legal profession in China Guangzhou is intrinsically linked to the city's economic future. As a global manufacturing and innovation epicenter, Guangzhou demands a legal ecosystem where every</w:t>
      </w:r>
      <w:r>
        <w:t xml:space="preserve"> </w:t>
      </w:r>
      <w:r>
        <w:rPr>
          <w:bCs/>
          <w:b/>
        </w:rPr>
        <w:t xml:space="preserve">Lawyer</w:t>
      </w:r>
      <w:r>
        <w:t xml:space="preserve"> </w:t>
      </w:r>
      <w:r>
        <w:t xml:space="preserve">operates with precision amid evolving international norms. This</w:t>
      </w:r>
      <w:r>
        <w:t xml:space="preserve"> </w:t>
      </w:r>
      <w:r>
        <w:rPr>
          <w:bCs/>
          <w:b/>
        </w:rPr>
        <w:t xml:space="preserve">Research Proposal</w:t>
      </w:r>
      <w:r>
        <w:t xml:space="preserve"> </w:t>
      </w:r>
      <w:r>
        <w:t xml:space="preserve">responds to an urgent need for localized, actionable insights that transcend theoretical frameworks. By centering the lived experiences of Guangzhou's legal practitioners, this study will not only advance academic understanding of China's legal landscape but also provide concrete pathways to empower the next generation of lawyers in China Guangzhou—ensuring they become catalysts for sustainable economic growth rather than bottlenecks in a rapidly globalizing market. The outcomes will position</w:t>
      </w:r>
      <w:r>
        <w:t xml:space="preserve"> </w:t>
      </w:r>
      <w:r>
        <w:rPr>
          <w:bCs/>
          <w:b/>
        </w:rPr>
        <w:t xml:space="preserve">China Guangzhou</w:t>
      </w:r>
      <w:r>
        <w:t xml:space="preserve"> </w:t>
      </w:r>
      <w:r>
        <w:t xml:space="preserve">as a benchmark for legal innovation across emerging economies.</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Lawyers in Contemporary China Guangzhou</dc:title>
  <dc:creator/>
  <dc:language>en</dc:language>
  <cp:keywords/>
  <dcterms:created xsi:type="dcterms:W3CDTF">2025-12-12T05:44:19Z</dcterms:created>
  <dcterms:modified xsi:type="dcterms:W3CDTF">2025-12-12T05:44:19Z</dcterms:modified>
</cp:coreProperties>
</file>

<file path=docProps/custom.xml><?xml version="1.0" encoding="utf-8"?>
<Properties xmlns="http://schemas.openxmlformats.org/officeDocument/2006/custom-properties" xmlns:vt="http://schemas.openxmlformats.org/officeDocument/2006/docPropsVTypes"/>
</file>