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Lawyer</w:t>
      </w:r>
      <w:r>
        <w:t xml:space="preserve"> </w:t>
      </w:r>
      <w:r>
        <w:t xml:space="preserve">Accessibility</w:t>
      </w:r>
      <w:r>
        <w:t xml:space="preserve"> </w:t>
      </w:r>
      <w:r>
        <w:t xml:space="preserve">and</w:t>
      </w:r>
      <w:r>
        <w:t xml:space="preserve"> </w:t>
      </w:r>
      <w:r>
        <w:t xml:space="preserve">Justice</w:t>
      </w:r>
      <w:r>
        <w:t xml:space="preserve"> </w:t>
      </w:r>
      <w:r>
        <w:t xml:space="preserve">Delivery</w:t>
      </w:r>
      <w:r>
        <w:t xml:space="preserve"> </w:t>
      </w:r>
      <w:r>
        <w:t xml:space="preserve">in</w:t>
      </w:r>
      <w:r>
        <w:t xml:space="preserve"> </w:t>
      </w:r>
      <w:r>
        <w:t xml:space="preserve">Colombia</w:t>
      </w:r>
      <w:r>
        <w:t xml:space="preserve"> </w:t>
      </w:r>
      <w:r>
        <w:t xml:space="preserve">Medellín</w:t>
      </w:r>
    </w:p>
    <w:bookmarkStart w:id="32" w:name="Xa5c4dedace8c75902407c2e0d4afbb9718959c6"/>
    <w:p>
      <w:pPr>
        <w:pStyle w:val="Heading1"/>
      </w:pPr>
      <w:r>
        <w:t xml:space="preserve">Research Proposal: Analyzing Lawyer Accessibility, Professional Practices, and Justice Outcomes in Colombia Medellín</w:t>
      </w:r>
    </w:p>
    <w:bookmarkStart w:id="20" w:name="X7d3939d1cb50b011ead4b259c6cfaeceee61e46"/>
    <w:p>
      <w:pPr>
        <w:pStyle w:val="Heading2"/>
      </w:pPr>
      <w:r>
        <w:t xml:space="preserve">I. Introduction and Contextual Background</w:t>
      </w:r>
    </w:p>
    <w:p>
      <w:pPr>
        <w:pStyle w:val="FirstParagraph"/>
      </w:pPr>
      <w:r>
        <w:t xml:space="preserve">The legal profession in Colombia faces profound challenges in delivering equitable justice, particularly within the dynamic urban context of Medellín. As Colombia's second-largest city and a global symbol of transformation from conflict to innovation, Medellín presents a critical case study for examining the role of the</w:t>
      </w:r>
      <w:r>
        <w:t xml:space="preserve"> </w:t>
      </w:r>
      <w:r>
        <w:rPr>
          <w:bCs/>
          <w:b/>
        </w:rPr>
        <w:t xml:space="preserve">Lawyer</w:t>
      </w:r>
      <w:r>
        <w:t xml:space="preserve"> </w:t>
      </w:r>
      <w:r>
        <w:t xml:space="preserve">in post-peace accord society. Despite significant advancements in legal infrastructure since the 2016 Peace Agreement, systemic barriers persist in accessing competent legal representation for marginalized populations across Medellín's diverse neighborhoods. This Research Proposal addresses a pressing gap: understanding how</w:t>
      </w:r>
      <w:r>
        <w:t xml:space="preserve"> </w:t>
      </w:r>
      <w:r>
        <w:rPr>
          <w:bCs/>
          <w:b/>
        </w:rPr>
        <w:t xml:space="preserve">Lawyer</w:t>
      </w:r>
      <w:r>
        <w:t xml:space="preserve"> </w:t>
      </w:r>
      <w:r>
        <w:t xml:space="preserve">accessibility and practice models directly influence justice outcomes in</w:t>
      </w:r>
      <w:r>
        <w:t xml:space="preserve"> </w:t>
      </w:r>
      <w:r>
        <w:rPr>
          <w:bCs/>
          <w:b/>
        </w:rPr>
        <w:t xml:space="preserve">Colombia Medellín</w:t>
      </w:r>
      <w:r>
        <w:t xml:space="preserve">, with implications for national policy and social cohesion. The city's unique socio-geographic fabric—characterized by stark contrasts between affluent districts like El Poblado and impoverished Comunas such as Comuna 13—demands localized analysis of legal service distribution and effectiveness.</w:t>
      </w:r>
    </w:p>
    <w:bookmarkEnd w:id="20"/>
    <w:bookmarkStart w:id="21" w:name="ii.-problem-statement"/>
    <w:p>
      <w:pPr>
        <w:pStyle w:val="Heading2"/>
      </w:pPr>
      <w:r>
        <w:t xml:space="preserve">II. Problem Statement</w:t>
      </w:r>
    </w:p>
    <w:p>
      <w:pPr>
        <w:pStyle w:val="FirstParagraph"/>
      </w:pPr>
      <w:r>
        <w:t xml:space="preserve">While Colombia has made strides in legal reform, Medellín exemplifies a national paradox: high concentrations of legal professionals coexist with significant gaps in access for vulnerable communities. According to the Colombian Bar Association (2023), only 18% of Medellín's low-income residents have ever consulted a</w:t>
      </w:r>
      <w:r>
        <w:t xml:space="preserve"> </w:t>
      </w:r>
      <w:r>
        <w:rPr>
          <w:bCs/>
          <w:b/>
        </w:rPr>
        <w:t xml:space="preserve">Lawyer</w:t>
      </w:r>
      <w:r>
        <w:t xml:space="preserve">, compared to 74% in high-income zones. This disparity fuels cycles of impunity, particularly in cases involving land rights, domestic violence, and transitional justice mechanisms stemming from the armed conflict. The absence of data on how</w:t>
      </w:r>
      <w:r>
        <w:t xml:space="preserve"> </w:t>
      </w:r>
      <w:r>
        <w:rPr>
          <w:bCs/>
          <w:b/>
        </w:rPr>
        <w:t xml:space="preserve">Lawyer</w:t>
      </w:r>
      <w:r>
        <w:t xml:space="preserve"> </w:t>
      </w:r>
      <w:r>
        <w:t xml:space="preserve">practices adapt to Medellín's specific challenges—such as post-conflict trauma, informal urban settlements (barrios), and complex jurisdictional overlaps between municipal courts and national entities—hinders evidence-based interventions. This Research Proposal directly confronts these gaps by investigating the nexus between legal professionalism, community needs, and justice delivery in</w:t>
      </w:r>
      <w:r>
        <w:t xml:space="preserve"> </w:t>
      </w:r>
      <w:r>
        <w:rPr>
          <w:bCs/>
          <w:b/>
        </w:rPr>
        <w:t xml:space="preserve">Colombia Medellín</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map the geographic distribution of licensed lawyers across Medellín's 16 communes and correlate this with socioeconomic indicators (poverty rate, crime index, peace accord implementation scores).</w:t>
      </w:r>
    </w:p>
    <w:p>
      <w:pPr>
        <w:numPr>
          <w:ilvl w:val="0"/>
          <w:numId w:val="1001"/>
        </w:numPr>
        <w:pStyle w:val="Compact"/>
      </w:pPr>
      <w:r>
        <w:t xml:space="preserve">To analyze the professional practices, ethical frameworks, and client interaction models employed by lawyers serving marginalized communities in Medellín.</w:t>
      </w:r>
    </w:p>
    <w:p>
      <w:pPr>
        <w:numPr>
          <w:ilvl w:val="0"/>
          <w:numId w:val="1001"/>
        </w:numPr>
        <w:pStyle w:val="Compact"/>
      </w:pPr>
      <w:r>
        <w:t xml:space="preserve">To assess the impact of lawyer accessibility on key justice outcomes: case resolution rates for land disputes (a critical post-conflict issue), domestic violence protection orders, and transitional justice participation (e.g., truth commissions).</w:t>
      </w:r>
    </w:p>
    <w:p>
      <w:pPr>
        <w:numPr>
          <w:ilvl w:val="0"/>
          <w:numId w:val="1001"/>
        </w:numPr>
        <w:pStyle w:val="Compact"/>
      </w:pPr>
      <w:r>
        <w:t xml:space="preserve">To co-design with local legal actors a scalable framework for improving equitable lawyer access in Medellín's high-need neighborhoods.</w:t>
      </w:r>
    </w:p>
    <w:bookmarkEnd w:id="22"/>
    <w:bookmarkStart w:id="23" w:name="X51f047d781957eca9dc74d140b3bdc51f9dd65f"/>
    <w:p>
      <w:pPr>
        <w:pStyle w:val="Heading2"/>
      </w:pPr>
      <w:r>
        <w:t xml:space="preserve">IV. Literature Review: Gaps in Colombian Legal Scholarship</w:t>
      </w:r>
    </w:p>
    <w:p>
      <w:pPr>
        <w:pStyle w:val="FirstParagraph"/>
      </w:pPr>
      <w:r>
        <w:t xml:space="preserve">Existing scholarship on lawyers in Colombia predominantly focuses on national policy frameworks (e.g., Law 1873 of 2017 reforming legal aid) or urban centers like Bogotá, neglecting Medellín's unique post-conflict context. Studies by Díaz &amp; Pardo (2021) highlight "legal deserts" in Colombian cities but omit neighborhood-level analysis. Research on Medellín’s justice system (e.g., Gómez, 2022) emphasizes institutional reforms without probing lawyer-client dynamics in informal settlements. Crucially, no prior study has examined how the</w:t>
      </w:r>
      <w:r>
        <w:t xml:space="preserve"> </w:t>
      </w:r>
      <w:r>
        <w:rPr>
          <w:bCs/>
          <w:b/>
        </w:rPr>
        <w:t xml:space="preserve">Lawyer</w:t>
      </w:r>
      <w:r>
        <w:t xml:space="preserve">'s role evolves when navigating Medellín’s "social urbanism" model—where public spaces like libraries and cable cars serve as de facto community hubs for justice outreach. This Research Proposal fills this void by centering Medellín's lived reality.</w:t>
      </w:r>
    </w:p>
    <w:bookmarkEnd w:id="23"/>
    <w:bookmarkStart w:id="27" w:name="v.-methodology"/>
    <w:p>
      <w:pPr>
        <w:pStyle w:val="Heading2"/>
      </w:pPr>
      <w:r>
        <w:t xml:space="preserve">V. Methodology</w:t>
      </w:r>
    </w:p>
    <w:p>
      <w:pPr>
        <w:pStyle w:val="FirstParagraph"/>
      </w:pPr>
      <w:r>
        <w:t xml:space="preserve">This mixed-methods study will deploy a 15-month timeline across three phases, exclusively focused on</w:t>
      </w:r>
      <w:r>
        <w:t xml:space="preserve"> </w:t>
      </w:r>
      <w:r>
        <w:rPr>
          <w:bCs/>
          <w:b/>
        </w:rPr>
        <w:t xml:space="preserve">Colombia Medellín</w:t>
      </w:r>
      <w:r>
        <w:t xml:space="preserve">:</w:t>
      </w:r>
    </w:p>
    <w:bookmarkStart w:id="24" w:name="phase-1-quantitative-mapping-months-1-4"/>
    <w:p>
      <w:pPr>
        <w:pStyle w:val="Heading3"/>
      </w:pPr>
      <w:r>
        <w:t xml:space="preserve">Phase 1: Quantitative Mapping (Months 1-4)</w:t>
      </w:r>
    </w:p>
    <w:p>
      <w:pPr>
        <w:numPr>
          <w:ilvl w:val="0"/>
          <w:numId w:val="1002"/>
        </w:numPr>
        <w:pStyle w:val="Compact"/>
      </w:pPr>
      <w:r>
        <w:t xml:space="preserve">Geo-referencing all licensed lawyers registered with the Medellín Bar Association.</w:t>
      </w:r>
    </w:p>
    <w:p>
      <w:pPr>
        <w:numPr>
          <w:ilvl w:val="0"/>
          <w:numId w:val="1002"/>
        </w:numPr>
        <w:pStyle w:val="Compact"/>
      </w:pPr>
      <w:r>
        <w:t xml:space="preserve">Cross-referencing with municipal poverty data (DANE) and peace accord implementation metrics per commune.</w:t>
      </w:r>
    </w:p>
    <w:p>
      <w:pPr>
        <w:numPr>
          <w:ilvl w:val="0"/>
          <w:numId w:val="1002"/>
        </w:numPr>
        <w:pStyle w:val="Compact"/>
      </w:pPr>
      <w:r>
        <w:t xml:space="preserve">Statistical analysis to identify correlation between lawyer density and justice access indicators.</w:t>
      </w:r>
    </w:p>
    <w:bookmarkEnd w:id="24"/>
    <w:bookmarkStart w:id="25" w:name="X256b993c0c6650aae346bbe43ba2a69f4a03875"/>
    <w:p>
      <w:pPr>
        <w:pStyle w:val="Heading3"/>
      </w:pPr>
      <w:r>
        <w:t xml:space="preserve">Phase 2: Qualitative Fieldwork (Months 5-10)</w:t>
      </w:r>
    </w:p>
    <w:p>
      <w:pPr>
        <w:numPr>
          <w:ilvl w:val="0"/>
          <w:numId w:val="1003"/>
        </w:numPr>
        <w:pStyle w:val="Compact"/>
      </w:pPr>
      <w:r>
        <w:t xml:space="preserve">In-depth interviews with 40 lawyers (20 from high-access zones, 20 serving marginalized communes like Comuna 8 and Comuna 13).</w:t>
      </w:r>
    </w:p>
    <w:p>
      <w:pPr>
        <w:numPr>
          <w:ilvl w:val="0"/>
          <w:numId w:val="1003"/>
        </w:numPr>
        <w:pStyle w:val="Compact"/>
      </w:pPr>
      <w:r>
        <w:t xml:space="preserve">Focus groups with 6 focus groups of clients (15 participants each) across diverse socioeconomic strata in Medellín.</w:t>
      </w:r>
    </w:p>
    <w:p>
      <w:pPr>
        <w:numPr>
          <w:ilvl w:val="0"/>
          <w:numId w:val="1003"/>
        </w:numPr>
        <w:pStyle w:val="Compact"/>
      </w:pPr>
      <w:r>
        <w:t xml:space="preserve">Observational study of lawyer-client interactions at key Medellín community centers (e.g., "Medellín Model" social infrastructure hubs).</w:t>
      </w:r>
    </w:p>
    <w:bookmarkEnd w:id="25"/>
    <w:bookmarkStart w:id="26" w:name="X86ae44a84ea4099acbc0ad2ab5b9d940a1b34fe"/>
    <w:p>
      <w:pPr>
        <w:pStyle w:val="Heading3"/>
      </w:pPr>
      <w:r>
        <w:t xml:space="preserve">Phase 3: Co-Design and Validation (Months 11-15)</w:t>
      </w:r>
    </w:p>
    <w:p>
      <w:pPr>
        <w:numPr>
          <w:ilvl w:val="0"/>
          <w:numId w:val="1004"/>
        </w:numPr>
        <w:pStyle w:val="Compact"/>
      </w:pPr>
      <w:r>
        <w:t xml:space="preserve">Workshops with lawyers, judges, civil society organizations (e.g., Fundación Pensamiento en Acción), and community leaders in Medellín.</w:t>
      </w:r>
    </w:p>
    <w:p>
      <w:pPr>
        <w:numPr>
          <w:ilvl w:val="0"/>
          <w:numId w:val="1004"/>
        </w:numPr>
        <w:pStyle w:val="Compact"/>
      </w:pPr>
      <w:r>
        <w:t xml:space="preserve">Development of a prototype "Justice Access Map" for Medellín, integrating real-time lawyer availability data and service protocols.</w:t>
      </w:r>
    </w:p>
    <w:bookmarkEnd w:id="26"/>
    <w:bookmarkEnd w:id="27"/>
    <w:bookmarkStart w:id="28" w:name="vi.-ethical-considerations"/>
    <w:p>
      <w:pPr>
        <w:pStyle w:val="Heading2"/>
      </w:pPr>
      <w:r>
        <w:t xml:space="preserve">VI. Ethical Considerations</w:t>
      </w:r>
    </w:p>
    <w:p>
      <w:pPr>
        <w:pStyle w:val="FirstParagraph"/>
      </w:pPr>
      <w:r>
        <w:t xml:space="preserve">This research strictly adheres to Colombian ethical guidelines (Resolution 001 of 1998) and prioritizes participant safety in Medellín's context. All interviews will be anonymized, with special protocols for vulnerable populations (e.g., survivors of violence). Informed consent will emphasize confidentiality in a city where legal disputes sometimes intersect with security concerns. The Research Proposal includes a Memorandum of Understanding (MoU) with the Medellín Municipal Council for Legal Aid and the Colombian Institute of Family Welfare (ICBF), ensuring community alignment.</w:t>
      </w:r>
    </w:p>
    <w:bookmarkEnd w:id="28"/>
    <w:bookmarkStart w:id="29" w:name="vii.-expected-outcomes-and-significance"/>
    <w:p>
      <w:pPr>
        <w:pStyle w:val="Heading2"/>
      </w:pPr>
      <w:r>
        <w:t xml:space="preserve">VII. Expected Outcomes and Significance</w:t>
      </w:r>
    </w:p>
    <w:p>
      <w:pPr>
        <w:pStyle w:val="FirstParagraph"/>
      </w:pPr>
      <w:r>
        <w:t xml:space="preserve">This Research Proposal will yield three transformative outputs directly relevant to</w:t>
      </w:r>
      <w:r>
        <w:t xml:space="preserve"> </w:t>
      </w:r>
      <w:r>
        <w:rPr>
          <w:bCs/>
          <w:b/>
        </w:rPr>
        <w:t xml:space="preserve">Colombia Medellín</w:t>
      </w:r>
      <w:r>
        <w:t xml:space="preserve">:</w:t>
      </w:r>
    </w:p>
    <w:p>
      <w:pPr>
        <w:numPr>
          <w:ilvl w:val="0"/>
          <w:numId w:val="1005"/>
        </w:numPr>
        <w:pStyle w:val="Compact"/>
      </w:pPr>
      <w:r>
        <w:t xml:space="preserve">A publicly accessible digital platform showing lawyer distribution vs. need, enabling policymakers to target resource allocation.</w:t>
      </w:r>
    </w:p>
    <w:p>
      <w:pPr>
        <w:numPr>
          <w:ilvl w:val="0"/>
          <w:numId w:val="1005"/>
        </w:numPr>
        <w:pStyle w:val="Compact"/>
      </w:pPr>
      <w:r>
        <w:t xml:space="preserve">A professional guide for lawyers in Medellín on culturally responsive practice models for post-conflict communities.</w:t>
      </w:r>
    </w:p>
    <w:p>
      <w:pPr>
        <w:numPr>
          <w:ilvl w:val="0"/>
          <w:numId w:val="1005"/>
        </w:numPr>
        <w:pStyle w:val="Compact"/>
      </w:pPr>
      <w:r>
        <w:t xml:space="preserve">Policy recommendations for the Colombian Ministry of Justice and Medellín City Council to integrate lawyer accessibility into "Urban Peace" initiatives.</w:t>
      </w:r>
    </w:p>
    <w:p>
      <w:pPr>
        <w:pStyle w:val="FirstParagraph"/>
      </w:pPr>
      <w:r>
        <w:t xml:space="preserve">The findings will contribute to Colombia's national strategy for justice reform (2023–2030) while positioning Medellín as a benchmark city for innovative legal service delivery. Crucially, it elevates the</w:t>
      </w:r>
      <w:r>
        <w:t xml:space="preserve"> </w:t>
      </w:r>
      <w:r>
        <w:rPr>
          <w:bCs/>
          <w:b/>
        </w:rPr>
        <w:t xml:space="preserve">Lawyer</w:t>
      </w:r>
      <w:r>
        <w:t xml:space="preserve"> </w:t>
      </w:r>
      <w:r>
        <w:t xml:space="preserve">from a passive legal actor to an active agent of social equity within Medellín’s transformation narrative.</w:t>
      </w:r>
    </w:p>
    <w:bookmarkEnd w:id="29"/>
    <w:bookmarkStart w:id="30" w:name="viii.-budget-overview-summary"/>
    <w:p>
      <w:pPr>
        <w:pStyle w:val="Heading2"/>
      </w:pPr>
      <w:r>
        <w:t xml:space="preserve">VIII. Budget Overview (Summary)</w:t>
      </w:r>
    </w:p>
    <w:p>
      <w:pPr>
        <w:pStyle w:val="FirstParagraph"/>
      </w:pPr>
      <w:r>
        <w:t xml:space="preserve">Estimated total funding: $145,000 USD. Allocations include:</w:t>
      </w:r>
      <w:r>
        <w:t xml:space="preserve"> </w:t>
      </w:r>
      <w:r>
        <w:t xml:space="preserve">• Fieldwork in 8 Medellín communes (35%);</w:t>
      </w:r>
      <w:r>
        <w:t xml:space="preserve"> </w:t>
      </w:r>
      <w:r>
        <w:t xml:space="preserve">• Technology platform development for justice mapping (25%);</w:t>
      </w:r>
      <w:r>
        <w:t xml:space="preserve"> </w:t>
      </w:r>
      <w:r>
        <w:t xml:space="preserve">• Stakeholder workshops with local legal institutions (20%);</w:t>
      </w:r>
      <w:r>
        <w:t xml:space="preserve"> </w:t>
      </w:r>
      <w:r>
        <w:t xml:space="preserve">• Ethical compliance and data security protocols (15%);</w:t>
      </w:r>
      <w:r>
        <w:t xml:space="preserve"> </w:t>
      </w:r>
      <w:r>
        <w:t xml:space="preserve">• Reporting and dissemination to Colombian legal bodies (5%).</w:t>
      </w:r>
    </w:p>
    <w:bookmarkEnd w:id="30"/>
    <w:bookmarkStart w:id="31" w:name="ix.-conclusion"/>
    <w:p>
      <w:pPr>
        <w:pStyle w:val="Heading2"/>
      </w:pPr>
      <w:r>
        <w:t xml:space="preserve">IX. Conclusion</w:t>
      </w:r>
    </w:p>
    <w:p>
      <w:pPr>
        <w:pStyle w:val="FirstParagraph"/>
      </w:pPr>
      <w:r>
        <w:t xml:space="preserve">The role of the</w:t>
      </w:r>
      <w:r>
        <w:t xml:space="preserve"> </w:t>
      </w:r>
      <w:r>
        <w:rPr>
          <w:bCs/>
          <w:b/>
        </w:rPr>
        <w:t xml:space="preserve">Lawyer</w:t>
      </w:r>
      <w:r>
        <w:t xml:space="preserve"> </w:t>
      </w:r>
      <w:r>
        <w:t xml:space="preserve">in Colombia Medellín transcends mere legal representation—it is pivotal to sustaining peace, fostering inclusion, and realizing the city’s vision as a "City of Peace." This Research Proposal establishes a rigorous, community-centered framework to diagnose barriers and co-create solutions for equitable justice. By centering Medellín’s reality—not as an exception but as a model—the study promises actionable insights that can reshape legal practice across Colombia’s urban centers. The success of this initiative will be measured not just in academic outputs, but in tangible improvements to lawyer accessibility for the 80% of Medellín residents currently underserved by the justice system. This Research Proposal is a critical investment in making justice visible, accessible, and transformative for all Colombians.</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Lawyer Accessibility and Justice Delivery in Colombia Medellín</dc:title>
  <dc:creator/>
  <dc:language>en</dc:language>
  <cp:keywords/>
  <dcterms:created xsi:type="dcterms:W3CDTF">2026-07-24T09:53:15Z</dcterms:created>
  <dcterms:modified xsi:type="dcterms:W3CDTF">2026-07-24T09:53:15Z</dcterms:modified>
</cp:coreProperties>
</file>

<file path=docProps/custom.xml><?xml version="1.0" encoding="utf-8"?>
<Properties xmlns="http://schemas.openxmlformats.org/officeDocument/2006/custom-properties" xmlns:vt="http://schemas.openxmlformats.org/officeDocument/2006/docPropsVTypes"/>
</file>