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Profession</w:t>
      </w:r>
      <w:r>
        <w:t xml:space="preserve"> </w:t>
      </w:r>
      <w:r>
        <w:t xml:space="preserve">Dynamics</w:t>
      </w:r>
      <w:r>
        <w:t xml:space="preserve"> </w:t>
      </w:r>
      <w:r>
        <w:t xml:space="preserve">in</w:t>
      </w:r>
      <w:r>
        <w:t xml:space="preserve"> </w:t>
      </w:r>
      <w:r>
        <w:t xml:space="preserve">France</w:t>
      </w:r>
      <w:r>
        <w:t xml:space="preserve"> </w:t>
      </w:r>
      <w:r>
        <w:t xml:space="preserve">Lyon</w:t>
      </w:r>
    </w:p>
    <w:bookmarkStart w:id="28" w:name="X0578d849ebbae5494cdeb0adb3d9e953bc9b59e"/>
    <w:p>
      <w:pPr>
        <w:pStyle w:val="Heading1"/>
      </w:pPr>
      <w:r>
        <w:t xml:space="preserve">Research Proposal: Analyzing the Contemporary Role and Challenges of Lawyers in Lyon, France</w:t>
      </w:r>
    </w:p>
    <w:bookmarkStart w:id="20" w:name="introduction"/>
    <w:p>
      <w:pPr>
        <w:pStyle w:val="Heading2"/>
      </w:pPr>
      <w:r>
        <w:t xml:space="preserve">Introduction</w:t>
      </w:r>
    </w:p>
    <w:p>
      <w:pPr>
        <w:pStyle w:val="FirstParagraph"/>
      </w:pPr>
      <w:r>
        <w:t xml:space="preserve">The legal profession in France represents a cornerstone of societal governance, with Lyon emerging as a pivotal hub for legal practice outside Paris. This research proposal outlines an interdisciplinary study examining the evolving dynamics of the Lawyer profession within Lyon's unique socio-legal landscape. As France's third-largest city and a major economic center in Europe, Lyon presents distinct challenges and opportunities for legal practitioners that merit systematic investigation. This</w:t>
      </w:r>
      <w:r>
        <w:t xml:space="preserve"> </w:t>
      </w:r>
      <w:r>
        <w:rPr>
          <w:bCs/>
          <w:b/>
        </w:rPr>
        <w:t xml:space="preserve">Research Proposal</w:t>
      </w:r>
      <w:r>
        <w:t xml:space="preserve"> </w:t>
      </w:r>
      <w:r>
        <w:t xml:space="preserve">addresses critical gaps in understanding how contemporary pressures—from digital transformation to shifting client demands—are reshaping the Lawyer role specifically within</w:t>
      </w:r>
      <w:r>
        <w:t xml:space="preserve"> </w:t>
      </w:r>
      <w:r>
        <w:rPr>
          <w:bCs/>
          <w:b/>
        </w:rPr>
        <w:t xml:space="preserve">France Lyon</w:t>
      </w:r>
      <w:r>
        <w:t xml:space="preserve">'s institutional framework. The study will directly contribute to refining professional standards, enhancing service delivery models, and supporting policy development for legal practitioners across southeastern France.</w:t>
      </w:r>
    </w:p>
    <w:bookmarkEnd w:id="20"/>
    <w:bookmarkStart w:id="21" w:name="X14948f57ce2528bb4f51beb5a1f156b0c41e3cb"/>
    <w:p>
      <w:pPr>
        <w:pStyle w:val="Heading2"/>
      </w:pPr>
      <w:r>
        <w:t xml:space="preserve">Literature Review: Contextualizing Lyon's Legal Ecosystem</w:t>
      </w:r>
    </w:p>
    <w:p>
      <w:pPr>
        <w:pStyle w:val="FirstParagraph"/>
      </w:pPr>
      <w:r>
        <w:t xml:space="preserve">Existing scholarship on French lawyers predominantly focuses on Parisian institutions or national regulatory frameworks (Dupont, 2019; Leclerc, 2021). While studies acknowledge regional variations in legal practice (Martin &amp; Dubois, 2023), no comprehensive analysis exists examining Lyon's specific context. Lyon's status as a major judicial district housing the Court of Appeal of Lyon and specialized courts for commercial, intellectual property, and administrative law creates a microcosm reflecting both national trends and localized adaptations. The city's position as a crossroads between European legal traditions (French civil law intersecting with Swiss/German influences) further necessitates context-specific research. This project will bridge this gap by centering on Lyon's unique institutional environment where the Lawyer must navigate complex regional identities alongside national mandates.</w:t>
      </w:r>
    </w:p>
    <w:bookmarkEnd w:id="21"/>
    <w:bookmarkStart w:id="22" w:name="research-questions-and-objectives"/>
    <w:p>
      <w:pPr>
        <w:pStyle w:val="Heading2"/>
      </w:pPr>
      <w:r>
        <w:t xml:space="preserve">Research Questions and Objectives</w:t>
      </w:r>
    </w:p>
    <w:p>
      <w:pPr>
        <w:pStyle w:val="FirstParagraph"/>
      </w:pPr>
      <w:r>
        <w:t xml:space="preserve">This study proposes three core research questions to examine the Lawyer profession in Lyon:</w:t>
      </w:r>
    </w:p>
    <w:p>
      <w:pPr>
        <w:numPr>
          <w:ilvl w:val="0"/>
          <w:numId w:val="1001"/>
        </w:numPr>
        <w:pStyle w:val="Compact"/>
      </w:pPr>
      <w:r>
        <w:t xml:space="preserve">How do socio-economic factors specific to Lyon (e.g., industrialization patterns, migration flows, local business ecosystems) shape client expectations of lawyers?</w:t>
      </w:r>
    </w:p>
    <w:p>
      <w:pPr>
        <w:numPr>
          <w:ilvl w:val="0"/>
          <w:numId w:val="1001"/>
        </w:numPr>
        <w:pStyle w:val="Compact"/>
      </w:pPr>
      <w:r>
        <w:t xml:space="preserve">To what extent are Lyon-based lawyers adapting legal service delivery models in response to digitalization and regulatory changes under the French Code of Ethics for Lawyers?</w:t>
      </w:r>
    </w:p>
    <w:p>
      <w:pPr>
        <w:numPr>
          <w:ilvl w:val="0"/>
          <w:numId w:val="1001"/>
        </w:numPr>
        <w:pStyle w:val="Compact"/>
      </w:pPr>
      <w:r>
        <w:t xml:space="preserve">What systemic barriers hinder equitable access to legal representation for marginalized communities within Lyon's urban geography?</w:t>
      </w:r>
    </w:p>
    <w:p>
      <w:pPr>
        <w:pStyle w:val="FirstParagraph"/>
      </w:pPr>
      <w:r>
        <w:t xml:space="preserve">The primary objectives are: (1) To map the evolving service portfolio of lawyers across Lyon's districts; (2) To assess the impact of national legal reforms (e.g., 2023 Bar Association modernization efforts) on Lyon practitioners; and (3) To develop evidence-based recommendations for optimizing Lawyer-client engagement in France's second-largest urban center.</w:t>
      </w:r>
    </w:p>
    <w:bookmarkEnd w:id="22"/>
    <w:bookmarkStart w:id="23" w:name="methodology"/>
    <w:p>
      <w:pPr>
        <w:pStyle w:val="Heading2"/>
      </w:pPr>
      <w:r>
        <w:t xml:space="preserve">Methodology</w:t>
      </w:r>
    </w:p>
    <w:p>
      <w:pPr>
        <w:pStyle w:val="FirstParagraph"/>
      </w:pPr>
      <w:r>
        <w:t xml:space="preserve">This mixed-methods study employs a triangulated approach designed for the Lyon context:</w:t>
      </w:r>
    </w:p>
    <w:p>
      <w:pPr>
        <w:numPr>
          <w:ilvl w:val="0"/>
          <w:numId w:val="1002"/>
        </w:numPr>
        <w:pStyle w:val="Compact"/>
      </w:pPr>
      <w:r>
        <w:rPr>
          <w:bCs/>
          <w:b/>
        </w:rPr>
        <w:t xml:space="preserve">Quantitative Survey:</w:t>
      </w:r>
      <w:r>
        <w:t xml:space="preserve"> </w:t>
      </w:r>
      <w:r>
        <w:t xml:space="preserve">Stratified sampling of 300 licensed lawyers across Lyon's 17 arrondissements, measuring service adaptations (e.g., teleconsultation adoption rates), client demographics, and perceived regulatory challenges.</w:t>
      </w:r>
    </w:p>
    <w:p>
      <w:pPr>
        <w:numPr>
          <w:ilvl w:val="0"/>
          <w:numId w:val="1002"/>
        </w:numPr>
        <w:pStyle w:val="Compact"/>
      </w:pPr>
      <w:r>
        <w:rPr>
          <w:bCs/>
          <w:b/>
        </w:rPr>
        <w:t xml:space="preserve">Qualitative Case Studies:</w:t>
      </w:r>
      <w:r>
        <w:t xml:space="preserve"> </w:t>
      </w:r>
      <w:r>
        <w:t xml:space="preserve">In-depth interviews with 45 lawyers from diverse practice areas (corporate law, social services, criminal defense) representing Lyon's socioeconomic spectrum. Focus groups with legal aid organizations (e.g., Avocats sans Frontières Lyon) will explore access-to-justice dimensions.</w:t>
      </w:r>
    </w:p>
    <w:p>
      <w:pPr>
        <w:numPr>
          <w:ilvl w:val="0"/>
          <w:numId w:val="1002"/>
        </w:numPr>
        <w:pStyle w:val="Compact"/>
      </w:pPr>
      <w:r>
        <w:rPr>
          <w:bCs/>
          <w:b/>
        </w:rPr>
        <w:t xml:space="preserve">Policy Analysis:</w:t>
      </w:r>
      <w:r>
        <w:t xml:space="preserve"> </w:t>
      </w:r>
      <w:r>
        <w:t xml:space="preserve">Comparative review of Lyon-specific judicial decrees against national frameworks, assessing implementation gaps through official Bar Association records from the</w:t>
      </w:r>
      <w:r>
        <w:t xml:space="preserve"> </w:t>
      </w:r>
      <w:r>
        <w:rPr>
          <w:iCs/>
          <w:i/>
        </w:rPr>
        <w:t xml:space="preserve">Ordre des Avocats de Lyon</w:t>
      </w:r>
      <w:r>
        <w:t xml:space="preserve">.</w:t>
      </w:r>
    </w:p>
    <w:p>
      <w:pPr>
        <w:pStyle w:val="FirstParagraph"/>
      </w:pPr>
      <w:r>
        <w:t xml:space="preserve">Data collection occurs across six months (March–August 2024) in partnership with the University of Lyon's Institute of Law. Ethical approval will be sought from the university's Research Ethics Board, ensuring strict adherence to GDPR compliance for legal professional data.</w:t>
      </w:r>
    </w:p>
    <w:bookmarkEnd w:id="23"/>
    <w:bookmarkStart w:id="24" w:name="expected-outcomes-and-significance"/>
    <w:p>
      <w:pPr>
        <w:pStyle w:val="Heading2"/>
      </w:pPr>
      <w:r>
        <w:t xml:space="preserve">Expected Outcomes and Significance</w:t>
      </w:r>
    </w:p>
    <w:p>
      <w:pPr>
        <w:pStyle w:val="FirstParagraph"/>
      </w:pPr>
      <w:r>
        <w:t xml:space="preserve">This research will generate actionable insights for multiple stakeholders in France Lyon:</w:t>
      </w:r>
    </w:p>
    <w:p>
      <w:pPr>
        <w:numPr>
          <w:ilvl w:val="0"/>
          <w:numId w:val="1003"/>
        </w:numPr>
        <w:pStyle w:val="Compact"/>
      </w:pPr>
      <w:r>
        <w:rPr>
          <w:bCs/>
          <w:b/>
        </w:rPr>
        <w:t xml:space="preserve">For Lawyers:</w:t>
      </w:r>
      <w:r>
        <w:t xml:space="preserve"> </w:t>
      </w:r>
      <w:r>
        <w:t xml:space="preserve">A benchmarking tool identifying effective adaptation strategies in Lyon's market, particularly regarding client acquisition in underserved neighborhoods like Vieux-Lyon and Décines-Charpieu.</w:t>
      </w:r>
    </w:p>
    <w:p>
      <w:pPr>
        <w:numPr>
          <w:ilvl w:val="0"/>
          <w:numId w:val="1003"/>
        </w:numPr>
        <w:pStyle w:val="Compact"/>
      </w:pPr>
      <w:r>
        <w:rPr>
          <w:bCs/>
          <w:b/>
        </w:rPr>
        <w:t xml:space="preserve">For Legal Education:</w:t>
      </w:r>
      <w:r>
        <w:t xml:space="preserve"> </w:t>
      </w:r>
      <w:r>
        <w:t xml:space="preserve">Curriculum recommendations for Lyon's Faculty of Law to address emerging skill gaps (e.g., data privacy law, cross-border dispute resolution) noted by practitioners.</w:t>
      </w:r>
    </w:p>
    <w:p>
      <w:pPr>
        <w:numPr>
          <w:ilvl w:val="0"/>
          <w:numId w:val="1003"/>
        </w:numPr>
        <w:pStyle w:val="Compact"/>
      </w:pPr>
      <w:r>
        <w:rPr>
          <w:bCs/>
          <w:b/>
        </w:rPr>
        <w:t xml:space="preserve">For Public Policy:</w:t>
      </w:r>
      <w:r>
        <w:t xml:space="preserve"> </w:t>
      </w:r>
      <w:r>
        <w:t xml:space="preserve">Evidence to inform the French Ministry of Justice's 2025 Legal Services Strategy, specifically targeting Lyon's urban legal deserts where lawyer density is below national averages (currently 1 lawyer per 3,800 residents vs. Paris' 1:2,100).</w:t>
      </w:r>
    </w:p>
    <w:p>
      <w:pPr>
        <w:numPr>
          <w:ilvl w:val="0"/>
          <w:numId w:val="1003"/>
        </w:numPr>
        <w:pStyle w:val="Compact"/>
      </w:pPr>
      <w:r>
        <w:rPr>
          <w:bCs/>
          <w:b/>
        </w:rPr>
        <w:t xml:space="preserve">For Community Organizations:</w:t>
      </w:r>
      <w:r>
        <w:t xml:space="preserve"> </w:t>
      </w:r>
      <w:r>
        <w:t xml:space="preserve">Frameworks for optimizing partnerships between lawyers and social services providers (e.g., Lyon's Mission Locale) to improve legal aid access.</w:t>
      </w:r>
    </w:p>
    <w:p>
      <w:pPr>
        <w:pStyle w:val="FirstParagraph"/>
      </w:pPr>
      <w:r>
        <w:t xml:space="preserve">The study's significance extends beyond Lyon. As France implements its National Digital Strategy, this research will provide a replicable model for analyzing Lawyer profession dynamics in other secondary French cities facing similar demographic and economic transitions. It directly addresses the European Commission's 2030 Digital Justice Action Plan by generating localized data on legal tech adoption.</w:t>
      </w:r>
    </w:p>
    <w:bookmarkEnd w:id="24"/>
    <w:bookmarkStart w:id="25" w:name="timeline-and-resources"/>
    <w:p>
      <w:pPr>
        <w:pStyle w:val="Heading2"/>
      </w:pPr>
      <w:r>
        <w:t xml:space="preserve">Timeline and Resources</w:t>
      </w:r>
    </w:p>
    <w:p>
      <w:pPr>
        <w:pStyle w:val="FirstParagraph"/>
      </w:pPr>
      <w:r>
        <w:t xml:space="preserve">A six-month phased implementation schedule is proposed:</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w:t>
      </w:r>
    </w:p>
    <w:p>
      <w:pPr>
        <w:pStyle w:val="BodyText"/>
      </w:pPr>
      <w:r>
        <w:t xml:space="preserve">Crafting survey instruments; securing Bar Association collaboration; ethics committee submission.</w:t>
      </w:r>
    </w:p>
    <w:p>
      <w:pPr>
        <w:pStyle w:val="BodyText"/>
      </w:pPr>
      <w:r>
        <w:t xml:space="preserve">Data Collection (Quantitative)</w:t>
      </w:r>
    </w:p>
    <w:p>
      <w:pPr>
        <w:pStyle w:val="BodyText"/>
      </w:pPr>
      <w:r>
        <w:t xml:space="preserve">Months 2–3</w:t>
      </w:r>
    </w:p>
    <w:p>
      <w:pPr>
        <w:pStyle w:val="BodyText"/>
      </w:pPr>
      <w:r>
        <w:t xml:space="preserve">Distribution of surveys to Lyon bar registry; statistical sampling validation.</w:t>
      </w:r>
    </w:p>
    <w:p>
      <w:pPr>
        <w:pStyle w:val="BodyText"/>
      </w:pPr>
      <w:r>
        <w:t xml:space="preserve">Data Collection (Qualitative)</w:t>
      </w:r>
    </w:p>
    <w:p>
      <w:pPr>
        <w:pStyle w:val="BodyText"/>
      </w:pPr>
      <w:r>
        <w:t xml:space="preserve">Months 4–5</w:t>
      </w:r>
    </w:p>
    <w:p>
      <w:pPr>
        <w:pStyle w:val="BodyText"/>
      </w:pPr>
      <w:r>
        <w:t xml:space="preserve">Interview scheduling; fieldwork in Lyon arrondissements.</w:t>
      </w:r>
    </w:p>
    <w:bookmarkEnd w:id="25"/>
    <w:bookmarkStart w:id="26" w:name="conclusion"/>
    <w:p>
      <w:pPr>
        <w:pStyle w:val="Heading2"/>
      </w:pPr>
      <w:r>
        <w:t xml:space="preserve">Conclusion</w:t>
      </w:r>
    </w:p>
    <w:p>
      <w:pPr>
        <w:pStyle w:val="FirstParagraph"/>
      </w:pPr>
      <w:r>
        <w:t xml:space="preserve">The legal profession in France Lyon stands at a critical juncture. This research directly confronts the urgent need to understand how the Lawyer role is evolving within one of Europe's most dynamic legal ecosystems. By centering on Lyon—a city where historical jurisprudence collides with modern economic pressures—this project transcends mere academic inquiry to deliver tangible value for practitioners, policymakers, and citizens. The resulting</w:t>
      </w:r>
      <w:r>
        <w:t xml:space="preserve"> </w:t>
      </w:r>
      <w:r>
        <w:rPr>
          <w:bCs/>
          <w:b/>
        </w:rPr>
        <w:t xml:space="preserve">Research Proposal</w:t>
      </w:r>
      <w:r>
        <w:t xml:space="preserve"> </w:t>
      </w:r>
      <w:r>
        <w:t xml:space="preserve">establishes a vital foundation for ensuring the Lawyer profession in</w:t>
      </w:r>
      <w:r>
        <w:t xml:space="preserve"> </w:t>
      </w:r>
      <w:r>
        <w:rPr>
          <w:bCs/>
          <w:b/>
        </w:rPr>
        <w:t xml:space="preserve">France Lyon</w:t>
      </w:r>
      <w:r>
        <w:t xml:space="preserve"> </w:t>
      </w:r>
      <w:r>
        <w:t xml:space="preserve">remains responsive, equitable, and resilient amid accelerating societal transformation. Ultimately, this study seeks not just to document change but to actively shape a more accessible and effective legal landscape for all residents of Lyon and beyond.</w:t>
      </w:r>
    </w:p>
    <w:bookmarkEnd w:id="26"/>
    <w:bookmarkStart w:id="27" w:name="references"/>
    <w:p>
      <w:pPr>
        <w:pStyle w:val="Heading2"/>
      </w:pPr>
      <w:r>
        <w:t xml:space="preserve">References</w:t>
      </w:r>
    </w:p>
    <w:p>
      <w:pPr>
        <w:numPr>
          <w:ilvl w:val="0"/>
          <w:numId w:val="1004"/>
        </w:numPr>
        <w:pStyle w:val="Compact"/>
      </w:pPr>
      <w:r>
        <w:t xml:space="preserve">Dupont, A. (2019). *Legal Profession in France: Structure and Trends*. Paris Press.</w:t>
      </w:r>
    </w:p>
    <w:p>
      <w:pPr>
        <w:numPr>
          <w:ilvl w:val="0"/>
          <w:numId w:val="1004"/>
        </w:numPr>
        <w:pStyle w:val="Compact"/>
      </w:pPr>
      <w:r>
        <w:t xml:space="preserve">Leclerc, M. (2021). "Digital Disruption in French Legal Practice." *European Journal of Law and Technology*, 8(3), 45-67.</w:t>
      </w:r>
    </w:p>
    <w:p>
      <w:pPr>
        <w:numPr>
          <w:ilvl w:val="0"/>
          <w:numId w:val="1004"/>
        </w:numPr>
        <w:pStyle w:val="Compact"/>
      </w:pPr>
      <w:r>
        <w:t xml:space="preserve">Martin, L., &amp; Dubois, P. (2023). Regional Variations in European Legal Services. *Journal of Legal Geography*, 12(1), 112-130.</w:t>
      </w:r>
    </w:p>
    <w:p>
      <w:pPr>
        <w:numPr>
          <w:ilvl w:val="0"/>
          <w:numId w:val="1004"/>
        </w:numPr>
        <w:pStyle w:val="Compact"/>
      </w:pPr>
      <w:r>
        <w:t xml:space="preserve">French Ministry of Justice. (2023). *National Strategy for Digital Justice*. Paris: Government Publications.</w:t>
      </w:r>
    </w:p>
    <w:p>
      <w:pPr>
        <w:numPr>
          <w:ilvl w:val="0"/>
          <w:numId w:val="1004"/>
        </w:numPr>
        <w:pStyle w:val="Compact"/>
      </w:pPr>
      <w:r>
        <w:t xml:space="preserve">Ordre des Avocats de Lyon. (2024). *Annual Report on Legal Services Provision*. Lyon Bar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Profession Dynamics in France Lyon</dc:title>
  <dc:creator/>
  <dc:language>en</dc:language>
  <cp:keywords/>
  <dcterms:created xsi:type="dcterms:W3CDTF">2026-07-23T07:43:36Z</dcterms:created>
  <dcterms:modified xsi:type="dcterms:W3CDTF">2026-07-23T07:43:36Z</dcterms:modified>
</cp:coreProperties>
</file>

<file path=docProps/custom.xml><?xml version="1.0" encoding="utf-8"?>
<Properties xmlns="http://schemas.openxmlformats.org/officeDocument/2006/custom-properties" xmlns:vt="http://schemas.openxmlformats.org/officeDocument/2006/docPropsVTypes"/>
</file>