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Berlin's</w:t>
      </w:r>
      <w:r>
        <w:t xml:space="preserve"> </w:t>
      </w:r>
      <w:r>
        <w:t xml:space="preserve">Legal</w:t>
      </w:r>
      <w:r>
        <w:t xml:space="preserve"> </w:t>
      </w:r>
      <w:r>
        <w:t xml:space="preserve">Ecosystem</w:t>
      </w:r>
    </w:p>
    <w:bookmarkStart w:id="29" w:name="X8392ac79ae397c28c6a33c6e1652134613eab3a"/>
    <w:p>
      <w:pPr>
        <w:pStyle w:val="Heading1"/>
      </w:pPr>
      <w:r>
        <w:t xml:space="preserve">Research Proposal: The Evolving Role of the Lawyer in Germany Berlin's Legal Ecosystem</w:t>
      </w:r>
    </w:p>
    <w:bookmarkStart w:id="20" w:name="abstract"/>
    <w:p>
      <w:pPr>
        <w:pStyle w:val="Heading2"/>
      </w:pPr>
      <w:r>
        <w:t xml:space="preserve">Abstract</w:t>
      </w:r>
    </w:p>
    <w:p>
      <w:pPr>
        <w:pStyle w:val="FirstParagraph"/>
      </w:pPr>
      <w:r>
        <w:t xml:space="preserve">This research proposal investigates the dynamic professional identity, practice challenges, and societal contributions of the Lawyer within Germany Berlin's unique legal landscape. Focusing on Berlin as a microcosm of contemporary German jurisprudence, this study examines how local legal practitioners navigate complex regulatory frameworks, multicultural client bases, and institutional pressures shaped by Berlin’s status as Germany's capital city and a global hub for migration, innovation, and EU governance. The research aims to produce actionable insights for legal education reform, professional development frameworks for the Lawyer in Germany Berlin context, and policy recommendations enhancing access to justice.</w:t>
      </w:r>
    </w:p>
    <w:bookmarkEnd w:id="20"/>
    <w:bookmarkStart w:id="21" w:name="introduction"/>
    <w:p>
      <w:pPr>
        <w:pStyle w:val="Heading2"/>
      </w:pPr>
      <w:r>
        <w:t xml:space="preserve">1. Introduction</w:t>
      </w:r>
    </w:p>
    <w:p>
      <w:pPr>
        <w:pStyle w:val="FirstParagraph"/>
      </w:pPr>
      <w:r>
        <w:t xml:space="preserve">Berlin stands as a pivotal center within Germany's legal architecture, hosting key institutions including the Federal Constitutional Court (Bundesverfassungsgericht), the Federal Ministry of Justice, and numerous EU bodies influencing national legislation. This positioning creates a distinct environment for the Lawyer operating in Germany Berlin. The profession faces unprecedented pressures: rapid demographic shifts with over 40% of Berlin's population born abroad, intense competition from legal tech startups, evolving data protection regulations under GDPR, and heightened demands for specialized expertise in areas like asylum law and digital commerce. This research directly addresses the critical need to understand how the Lawyer adapts within this volatile setting. Without such analysis, Germany risks failing to support a legal profession capable of upholding justice in its most complex urban context.</w:t>
      </w:r>
    </w:p>
    <w:bookmarkEnd w:id="21"/>
    <w:bookmarkStart w:id="22" w:name="problem-statement"/>
    <w:p>
      <w:pPr>
        <w:pStyle w:val="Heading2"/>
      </w:pPr>
      <w:r>
        <w:t xml:space="preserve">2. Problem Statement</w:t>
      </w:r>
    </w:p>
    <w:p>
      <w:pPr>
        <w:pStyle w:val="FirstParagraph"/>
      </w:pPr>
      <w:r>
        <w:t xml:space="preserve">The professional trajectory of the Lawyer in Germany Berlin is increasingly characterized by fragmentation and strain. Traditional models of practice are challenged by:</w:t>
      </w:r>
    </w:p>
    <w:p>
      <w:pPr>
        <w:numPr>
          <w:ilvl w:val="0"/>
          <w:numId w:val="1001"/>
        </w:numPr>
        <w:pStyle w:val="Compact"/>
      </w:pPr>
      <w:r>
        <w:rPr>
          <w:bCs/>
          <w:b/>
        </w:rPr>
        <w:t xml:space="preserve">Regulatory Complexity:</w:t>
      </w:r>
      <w:r>
        <w:t xml:space="preserve"> </w:t>
      </w:r>
      <w:r>
        <w:t xml:space="preserve">Lawyers navigate a dense web of federal, state (Land), municipal, and EU regulations impacting daily practice, particularly in Berlin's innovative sectors like fintech and creative industries.</w:t>
      </w:r>
    </w:p>
    <w:p>
      <w:pPr>
        <w:numPr>
          <w:ilvl w:val="0"/>
          <w:numId w:val="1001"/>
        </w:numPr>
        <w:pStyle w:val="Compact"/>
      </w:pPr>
      <w:r>
        <w:rPr>
          <w:bCs/>
          <w:b/>
        </w:rPr>
        <w:t xml:space="preserve">Cross-Cultural Client Needs:</w:t>
      </w:r>
      <w:r>
        <w:t xml:space="preserve"> </w:t>
      </w:r>
      <w:r>
        <w:t xml:space="preserve">Berlin’s diverse population necessitates linguistic fluency (beyond German) and cultural competence often not adequately addressed in standard legal training for the Lawyer.</w:t>
      </w:r>
    </w:p>
    <w:p>
      <w:pPr>
        <w:numPr>
          <w:ilvl w:val="0"/>
          <w:numId w:val="1001"/>
        </w:numPr>
        <w:pStyle w:val="Compact"/>
      </w:pPr>
      <w:r>
        <w:rPr>
          <w:bCs/>
          <w:b/>
        </w:rPr>
        <w:t xml:space="preserve">Resource Disparities:</w:t>
      </w:r>
      <w:r>
        <w:t xml:space="preserve"> </w:t>
      </w:r>
      <w:r>
        <w:t xml:space="preserve">Access to quality legal services remains unequal, with marginalized communities (migrants, low-income residents) frequently underserved despite Berlin's progressive social policies.</w:t>
      </w:r>
    </w:p>
    <w:p>
      <w:pPr>
        <w:pStyle w:val="FirstParagraph"/>
      </w:pPr>
      <w:r>
        <w:t xml:space="preserve">The lack of focused research on these specific Berlin dynamics hinders effective support for the Lawyer and impedes systemic justice. This proposal bridges that gap.</w:t>
      </w:r>
    </w:p>
    <w:bookmarkEnd w:id="22"/>
    <w:bookmarkStart w:id="23" w:name="research-objectives"/>
    <w:p>
      <w:pPr>
        <w:pStyle w:val="Heading2"/>
      </w:pPr>
      <w:r>
        <w:t xml:space="preserve">3. Research Objectives</w:t>
      </w:r>
    </w:p>
    <w:p>
      <w:pPr>
        <w:pStyle w:val="FirstParagraph"/>
      </w:pPr>
      <w:r>
        <w:t xml:space="preserve">This study aims to achieve three core objectives:</w:t>
      </w:r>
    </w:p>
    <w:p>
      <w:pPr>
        <w:numPr>
          <w:ilvl w:val="0"/>
          <w:numId w:val="1002"/>
        </w:numPr>
        <w:pStyle w:val="Compact"/>
      </w:pPr>
      <w:r>
        <w:rPr>
          <w:bCs/>
          <w:b/>
        </w:rPr>
        <w:t xml:space="preserve">Analyze Practice Evolution:</w:t>
      </w:r>
      <w:r>
        <w:t xml:space="preserve"> </w:t>
      </w:r>
      <w:r>
        <w:t xml:space="preserve">Document how Berlin-based Lawyers adapt their service models (e.g., digital adoption, specialization clusters) in response to Berlin-specific market forces and regulatory shifts.</w:t>
      </w:r>
    </w:p>
    <w:p>
      <w:pPr>
        <w:numPr>
          <w:ilvl w:val="0"/>
          <w:numId w:val="1002"/>
        </w:numPr>
        <w:pStyle w:val="Compact"/>
      </w:pPr>
      <w:r>
        <w:rPr>
          <w:bCs/>
          <w:b/>
        </w:rPr>
        <w:t xml:space="preserve">Evaluate Client Access &amp; Equity:</w:t>
      </w:r>
      <w:r>
        <w:t xml:space="preserve"> </w:t>
      </w:r>
      <w:r>
        <w:t xml:space="preserve">Assess barriers to accessing legal services for diverse populations within Berlin, focusing on the Lawyer's role in bridging gaps or perpetuating inequity.</w:t>
      </w:r>
    </w:p>
    <w:p>
      <w:pPr>
        <w:numPr>
          <w:ilvl w:val="0"/>
          <w:numId w:val="1002"/>
        </w:numPr>
        <w:pStyle w:val="Compact"/>
      </w:pPr>
      <w:r>
        <w:rPr>
          <w:bCs/>
          <w:b/>
        </w:rPr>
        <w:t xml:space="preserve">Propose Adaptive Frameworks:</w:t>
      </w:r>
      <w:r>
        <w:t xml:space="preserve"> </w:t>
      </w:r>
      <w:r>
        <w:t xml:space="preserve">Develop evidence-based recommendations for legal education curricula, professional associations (like the Berlin Bar Association - Rechtsanwaltskammer Berlin), and policymakers to better support the Lawyer operating effectively within Germany Berlin's unique ecosystem.</w:t>
      </w:r>
    </w:p>
    <w:bookmarkEnd w:id="23"/>
    <w:bookmarkStart w:id="24" w:name="literature-review"/>
    <w:p>
      <w:pPr>
        <w:pStyle w:val="Heading2"/>
      </w:pPr>
      <w:r>
        <w:t xml:space="preserve">4. Literature Review</w:t>
      </w:r>
    </w:p>
    <w:p>
      <w:pPr>
        <w:pStyle w:val="FirstParagraph"/>
      </w:pPr>
      <w:r>
        <w:t xml:space="preserve">Existing scholarship on German legal practice often adopts a national perspective, overlooking Berlin's distinct urban dynamics (Kühn, 2019). Studies on migration law (Schmitt, 2021) highlight the Lawyer's critical role but rarely focus specifically on Berlin’s caseloads or infrastructure. Research on legal tech adoption in Germany (Hartmann &amp; Weber, 2023) identifies trends but lacks granular analysis of Berlin’s startup ecosystem integration. This research directly addresses these gaps by centering the Lawyer within Germany Berlin's sociopolitical and economic context, moving beyond generalized German studies to provide localized insights vital for effective legal practice in the capital.</w:t>
      </w:r>
    </w:p>
    <w:bookmarkEnd w:id="24"/>
    <w:bookmarkStart w:id="25" w:name="methodology"/>
    <w:p>
      <w:pPr>
        <w:pStyle w:val="Heading2"/>
      </w:pPr>
      <w:r>
        <w:t xml:space="preserve">5. Methodology</w:t>
      </w:r>
    </w:p>
    <w:p>
      <w:pPr>
        <w:pStyle w:val="FirstParagraph"/>
      </w:pPr>
      <w:r>
        <w:t xml:space="preserve">A mixed-methods approach will be employed:</w:t>
      </w:r>
    </w:p>
    <w:p>
      <w:pPr>
        <w:numPr>
          <w:ilvl w:val="0"/>
          <w:numId w:val="1003"/>
        </w:numPr>
        <w:pStyle w:val="Compact"/>
      </w:pPr>
      <w:r>
        <w:rPr>
          <w:bCs/>
          <w:b/>
        </w:rPr>
        <w:t xml:space="preserve">Qualitative Phase:</w:t>
      </w:r>
      <w:r>
        <w:t xml:space="preserve"> </w:t>
      </w:r>
      <w:r>
        <w:t xml:space="preserve">In-depth, semi-structured interviews with 30+ Lawyers across Berlin (including solo practitioners, firm partners, public defenders) representing diverse specializations (immigration, corporate law, civil rights). Focus groups with key stakeholders: clients from marginalized communities and representatives of the Berlin Bar Association.</w:t>
      </w:r>
    </w:p>
    <w:p>
      <w:pPr>
        <w:numPr>
          <w:ilvl w:val="0"/>
          <w:numId w:val="1003"/>
        </w:numPr>
        <w:pStyle w:val="Compact"/>
      </w:pPr>
      <w:r>
        <w:rPr>
          <w:bCs/>
          <w:b/>
        </w:rPr>
        <w:t xml:space="preserve">Quantitative Phase:</w:t>
      </w:r>
      <w:r>
        <w:t xml:space="preserve"> </w:t>
      </w:r>
      <w:r>
        <w:t xml:space="preserve">Analysis of anonymized case data from Berlin courts (e.g., Administrative Court data on asylum cases) and surveys distributed to members of the Berlin Bar Association to gauge practice trends, workload, and perceived challenges.</w:t>
      </w:r>
    </w:p>
    <w:p>
      <w:pPr>
        <w:numPr>
          <w:ilvl w:val="0"/>
          <w:numId w:val="1003"/>
        </w:numPr>
        <w:pStyle w:val="Compact"/>
      </w:pPr>
      <w:r>
        <w:rPr>
          <w:bCs/>
          <w:b/>
        </w:rPr>
        <w:t xml:space="preserve">Comparative Element:</w:t>
      </w:r>
      <w:r>
        <w:t xml:space="preserve"> </w:t>
      </w:r>
      <w:r>
        <w:t xml:space="preserve">Benchmarks against legal practice patterns in other German federal states (e.g., Frankfurt, Munich) to isolate Berlin-specific factors.</w:t>
      </w:r>
    </w:p>
    <w:p>
      <w:pPr>
        <w:pStyle w:val="FirstParagraph"/>
      </w:pPr>
      <w:r>
        <w:t xml:space="preserve">Data collection will occur over 18 months within Berlin, ensuring contextual authenticity. Ethical approval from a Berlin university ethics board is secured.</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value for multiple stakeholders in Germany Berlin:</w:t>
      </w:r>
    </w:p>
    <w:p>
      <w:pPr>
        <w:numPr>
          <w:ilvl w:val="0"/>
          <w:numId w:val="1004"/>
        </w:numPr>
        <w:pStyle w:val="Compact"/>
      </w:pPr>
      <w:r>
        <w:rPr>
          <w:bCs/>
          <w:b/>
        </w:rPr>
        <w:t xml:space="preserve">For the Lawyer:</w:t>
      </w:r>
      <w:r>
        <w:t xml:space="preserve"> </w:t>
      </w:r>
      <w:r>
        <w:t xml:space="preserve">Provides practical insights into navigating Berlin's unique challenges, fostering professional resilience and innovation.</w:t>
      </w:r>
    </w:p>
    <w:p>
      <w:pPr>
        <w:numPr>
          <w:ilvl w:val="0"/>
          <w:numId w:val="1004"/>
        </w:numPr>
        <w:pStyle w:val="Compact"/>
      </w:pPr>
      <w:r>
        <w:rPr>
          <w:bCs/>
          <w:b/>
        </w:rPr>
        <w:t xml:space="preserve">For Legal Education (e.g., Universities in Berlin):</w:t>
      </w:r>
      <w:r>
        <w:t xml:space="preserve"> </w:t>
      </w:r>
      <w:r>
        <w:t xml:space="preserve">Informs curricular updates to better prepare future Lawyers for the realities of practicing in Germany's capital city.</w:t>
      </w:r>
    </w:p>
    <w:p>
      <w:pPr>
        <w:numPr>
          <w:ilvl w:val="0"/>
          <w:numId w:val="1004"/>
        </w:numPr>
        <w:pStyle w:val="Compact"/>
      </w:pPr>
      <w:r>
        <w:rPr>
          <w:bCs/>
          <w:b/>
        </w:rPr>
        <w:t xml:space="preserve">For Policymakers (Berlin Senate, Federal Ministry of Justice):</w:t>
      </w:r>
      <w:r>
        <w:t xml:space="preserve"> </w:t>
      </w:r>
      <w:r>
        <w:t xml:space="preserve">Offers data-driven evidence to shape policies improving legal aid access and supporting a robust legal profession vital for Berlin's social cohesion and economic vitality.</w:t>
      </w:r>
    </w:p>
    <w:p>
      <w:pPr>
        <w:numPr>
          <w:ilvl w:val="0"/>
          <w:numId w:val="1004"/>
        </w:numPr>
        <w:pStyle w:val="Compact"/>
      </w:pPr>
      <w:r>
        <w:rPr>
          <w:bCs/>
          <w:b/>
        </w:rPr>
        <w:t xml:space="preserve">For Society:</w:t>
      </w:r>
      <w:r>
        <w:t xml:space="preserve"> </w:t>
      </w:r>
      <w:r>
        <w:t xml:space="preserve">Contributes directly to enhancing equitable access to justice in one of Europe's most dynamic cities, strengthening the rule of law within Germany Berlin.</w:t>
      </w:r>
    </w:p>
    <w:p>
      <w:pPr>
        <w:pStyle w:val="FirstParagraph"/>
      </w:pPr>
      <w:r>
        <w:t xml:space="preserve">The expected outcome is a comprehensive report with specific, actionable recommendations for the Lawyer, legal institutions, and government bodies operating within Germany Berlin. This will include a model framework for "Berlin-Adapted Legal Practice" integrating cultural competence modules and technology adoption strategies tailored to the city's needs.</w:t>
      </w:r>
    </w:p>
    <w:bookmarkEnd w:id="26"/>
    <w:bookmarkStart w:id="27" w:name="timeline-budget-overview"/>
    <w:p>
      <w:pPr>
        <w:pStyle w:val="Heading2"/>
      </w:pPr>
      <w:r>
        <w:t xml:space="preserve">7. Timeline &amp; Budget Overview</w:t>
      </w:r>
    </w:p>
    <w:p>
      <w:pPr>
        <w:pStyle w:val="FirstParagraph"/>
      </w:pPr>
      <w:r>
        <w:rPr>
          <w:bCs/>
          <w:b/>
        </w:rPr>
        <w:t xml:space="preserve">Months 1-3:</w:t>
      </w:r>
      <w:r>
        <w:t xml:space="preserve"> </w:t>
      </w:r>
      <w:r>
        <w:t xml:space="preserve">Finalize instruments, secure ethics approval, establish Berlin Bar Association partnerships.</w:t>
      </w:r>
      <w:r>
        <w:br/>
      </w:r>
      <w:r>
        <w:rPr>
          <w:bCs/>
          <w:b/>
        </w:rPr>
        <w:t xml:space="preserve">Months 4-10:</w:t>
      </w:r>
      <w:r>
        <w:t xml:space="preserve"> </w:t>
      </w:r>
      <w:r>
        <w:t xml:space="preserve">Primary data collection (interviews, focus groups, survey deployment).</w:t>
      </w:r>
      <w:r>
        <w:br/>
      </w:r>
      <w:r>
        <w:rPr>
          <w:bCs/>
          <w:b/>
        </w:rPr>
        <w:t xml:space="preserve">Months 11-15:</w:t>
      </w:r>
      <w:r>
        <w:t xml:space="preserve"> </w:t>
      </w:r>
      <w:r>
        <w:t xml:space="preserve">Data analysis and draft report development.</w:t>
      </w:r>
      <w:r>
        <w:br/>
      </w:r>
      <w:r>
        <w:rPr>
          <w:bCs/>
          <w:b/>
        </w:rPr>
        <w:t xml:space="preserve">Months 16-18:</w:t>
      </w:r>
      <w:r>
        <w:t xml:space="preserve"> </w:t>
      </w:r>
      <w:r>
        <w:t xml:space="preserve">Validation workshops with Berlin legal stakeholders, final report and policy brief publication.</w:t>
      </w:r>
      <w:r>
        <w:br/>
      </w:r>
      <w:r>
        <w:t xml:space="preserve">The budget request covers researcher stipends, travel within Berlin for fieldwork, transcription services, and dissemination costs (targeting German legal journals and Berlin municipal forums).</w:t>
      </w:r>
    </w:p>
    <w:bookmarkEnd w:id="27"/>
    <w:bookmarkStart w:id="28" w:name="conclusion"/>
    <w:p>
      <w:pPr>
        <w:pStyle w:val="Heading2"/>
      </w:pPr>
      <w:r>
        <w:t xml:space="preserve">8. Conclusion</w:t>
      </w:r>
    </w:p>
    <w:p>
      <w:pPr>
        <w:pStyle w:val="FirstParagraph"/>
      </w:pPr>
      <w:r>
        <w:t xml:space="preserve">The role of the Lawyer in Germany Berlin is not merely a professional occupation; it is a cornerstone of civic life in one of the world's most significant urban centers. This research proposal directly confronts the evolving pressures facing legal practitioners operating within this specific context. By centering Berlin and its unique challenges—its diversity, regulatory intensity, and innovative spirit—the study promises to generate indispensable knowledge for strengthening the legal profession and ensuring justice is accessible to all residents of Germany Berlin. Understanding how the Lawyer thrives in this environment is crucial not only for Berlin but also as a model for other major cities navigating similar complexities within the German state 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Germany Berlin's Legal Ecosystem</dc:title>
  <dc:creator/>
  <dc:language>en</dc:language>
  <cp:keywords/>
  <dcterms:created xsi:type="dcterms:W3CDTF">2026-07-21T01:40:06Z</dcterms:created>
  <dcterms:modified xsi:type="dcterms:W3CDTF">2026-07-21T01:40:06Z</dcterms:modified>
</cp:coreProperties>
</file>

<file path=docProps/custom.xml><?xml version="1.0" encoding="utf-8"?>
<Properties xmlns="http://schemas.openxmlformats.org/officeDocument/2006/custom-properties" xmlns:vt="http://schemas.openxmlformats.org/officeDocument/2006/docPropsVTypes"/>
</file>