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Frankfurt's</w:t>
      </w:r>
      <w:r>
        <w:t xml:space="preserve"> </w:t>
      </w:r>
      <w:r>
        <w:t xml:space="preserve">Legal</w:t>
      </w:r>
      <w:r>
        <w:t xml:space="preserve"> </w:t>
      </w:r>
      <w:r>
        <w:t xml:space="preserve">Landscape</w:t>
      </w:r>
    </w:p>
    <w:bookmarkStart w:id="29" w:name="X81a3ad4ee15faf14525afc420565ab13681204b"/>
    <w:p>
      <w:pPr>
        <w:pStyle w:val="Heading1"/>
      </w:pPr>
      <w:r>
        <w:t xml:space="preserve">Research Proposal: The Evolving Role of the Lawyer in Germany Frankfurt's Legal Landscape</w:t>
      </w:r>
    </w:p>
    <w:bookmarkStart w:id="20" w:name="introduction-and-contextual-background"/>
    <w:p>
      <w:pPr>
        <w:pStyle w:val="Heading2"/>
      </w:pPr>
      <w:r>
        <w:t xml:space="preserve">Introduction and Contextual Background</w:t>
      </w:r>
    </w:p>
    <w:p>
      <w:pPr>
        <w:pStyle w:val="FirstParagraph"/>
      </w:pPr>
      <w:r>
        <w:t xml:space="preserve">The legal profession in Germany represents a cornerstone of the nation's socio-economic framework, with Frankfurt am Main emerging as its most dynamic hub. As Europe's premier financial center and home to the European Central Bank, Deutsche Bundesbank, and numerous international corporations, Frankfurt demands a sophisticated legal ecosystem. This Research Proposal examines the critical role of the</w:t>
      </w:r>
      <w:r>
        <w:t xml:space="preserve"> </w:t>
      </w:r>
      <w:r>
        <w:rPr>
          <w:bCs/>
          <w:b/>
        </w:rPr>
        <w:t xml:space="preserve">Lawyer</w:t>
      </w:r>
      <w:r>
        <w:t xml:space="preserve"> </w:t>
      </w:r>
      <w:r>
        <w:t xml:space="preserve">within Germany's evolving regulatory environment, with specific focus on Frankfurt's unique position as a global legal crossroads. The research addresses urgent gaps in understanding how contemporary challenges—from digital transformation to Brexit-induced complexities—reshape professional practice for lawyers operating in this pivotal German city.</w:t>
      </w:r>
    </w:p>
    <w:bookmarkEnd w:id="20"/>
    <w:bookmarkStart w:id="21" w:name="X1d82c4086aae4ecf15b371866de1757eb51f54d"/>
    <w:p>
      <w:pPr>
        <w:pStyle w:val="Heading2"/>
      </w:pPr>
      <w:r>
        <w:t xml:space="preserve">Problem Statement and Research Significance</w:t>
      </w:r>
    </w:p>
    <w:p>
      <w:pPr>
        <w:pStyle w:val="FirstParagraph"/>
      </w:pPr>
      <w:r>
        <w:t xml:space="preserve">Despite Germany's robust legal infrastructure, Frankfurt's lawyer community faces unprecedented pressures. The 2018 implementation of the European Union's General Data Protection Regulation (GDPR), coupled with ongoing financial sector deregulation, has intensified demand for specialized legal expertise. However, no comprehensive study exists on how these shifts impact day-to-day practice for lawyers in Germany Frankfurt specifically. This gap impedes effective professional development and strategic planning by law firms and regulatory bodies. This</w:t>
      </w:r>
      <w:r>
        <w:t xml:space="preserve"> </w:t>
      </w:r>
      <w:r>
        <w:rPr>
          <w:bCs/>
          <w:b/>
        </w:rPr>
        <w:t xml:space="preserve">Research Proposal</w:t>
      </w:r>
      <w:r>
        <w:t xml:space="preserve"> </w:t>
      </w:r>
      <w:r>
        <w:t xml:space="preserve">directly tackles this void, asserting that understanding the lawyer's evolving role is not merely academic but essential for maintaining Frankfurt's status as a premier jurisdictional gateway within Europe.</w:t>
      </w:r>
    </w:p>
    <w:bookmarkEnd w:id="21"/>
    <w:bookmarkStart w:id="22" w:name="X8720de114db93eca55348cb9e87c4d9d52cf1be"/>
    <w:p>
      <w:pPr>
        <w:pStyle w:val="Heading2"/>
      </w:pPr>
      <w:r>
        <w:t xml:space="preserve">Literature Review: Current Gaps in German Legal Scholarship</w:t>
      </w:r>
    </w:p>
    <w:p>
      <w:pPr>
        <w:pStyle w:val="FirstParagraph"/>
      </w:pPr>
      <w:r>
        <w:t xml:space="preserve">Existing scholarship on German legal practice predominantly focuses on national frameworks (e.g., the Zivilprozessordnung) or comparative analyses between Berlin and Munich. Studies by Müller (2020) and Schmidt &amp; Vogel (2021) examine lawyer-client dynamics in corporate settings but neglect Frankfurt's distinctive financial context. Crucially, none address the intersection of digital legal tools with Frankfurt's high-volume cross-border transactions. Recent European Commission reports acknowledge jurisdictional fragmentation post-Brexit, yet omit granular insights from German practitioners operating at the EU-Germany-UK interface—a critical omission given that over 60% of Frankfurt-based law firms handle Brexit-related litigation. This research fills this void by centering</w:t>
      </w:r>
      <w:r>
        <w:t xml:space="preserve"> </w:t>
      </w:r>
      <w:r>
        <w:rPr>
          <w:bCs/>
          <w:b/>
        </w:rPr>
        <w:t xml:space="preserve">Germany Frankfurt</w:t>
      </w:r>
      <w:r>
        <w:t xml:space="preserve"> </w:t>
      </w:r>
      <w:r>
        <w:t xml:space="preserve">as the operational nexus of Europe's legal innovation.</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analyze how digitalization (AI-driven contract review, blockchain evidence) reshapes core competencies required of lawyers in Germany Frankfurt.</w:t>
      </w:r>
    </w:p>
    <w:p>
      <w:pPr>
        <w:numPr>
          <w:ilvl w:val="0"/>
          <w:numId w:val="1001"/>
        </w:numPr>
        <w:pStyle w:val="Compact"/>
      </w:pPr>
      <w:r>
        <w:t xml:space="preserve">To evaluate the impact of regulatory convergence/divergence (e.g., GDPR vs. UK data laws) on cross-border legal services delivered by Frankfurt-based firms.</w:t>
      </w:r>
    </w:p>
    <w:p>
      <w:pPr>
        <w:numPr>
          <w:ilvl w:val="0"/>
          <w:numId w:val="1001"/>
        </w:numPr>
        <w:pStyle w:val="Compact"/>
      </w:pPr>
      <w:r>
        <w:t xml:space="preserve">To identify emerging professional challenges facing lawyers specializing in fintech, ESG compliance, and international arbitration within Germany Frankfurt's ecosystem.</w:t>
      </w:r>
    </w:p>
    <w:p>
      <w:pPr>
        <w:numPr>
          <w:ilvl w:val="0"/>
          <w:numId w:val="1001"/>
        </w:numPr>
        <w:pStyle w:val="Compact"/>
      </w:pPr>
      <w:r>
        <w:t xml:space="preserve">To develop evidence-based recommendations for legal education curricula and firm strategy tailored to Frankfurt's unique demands.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Survey (Months 1-3)</w:t>
      </w:r>
      <w:r>
        <w:t xml:space="preserve"> </w:t>
      </w:r>
      <w:r>
        <w:t xml:space="preserve">- Distributed to 300+ licensed lawyers across Frankfurt's top 50 law firms (including global giants like Freshfields and local leaders like KPMG Legal). Metrics will include: adoption rates of legal tech tools, time allocation to cross-border cases, and perceived regulatory stressors.</w:t>
      </w:r>
    </w:p>
    <w:p>
      <w:pPr>
        <w:numPr>
          <w:ilvl w:val="0"/>
          <w:numId w:val="1002"/>
        </w:numPr>
        <w:pStyle w:val="Compact"/>
      </w:pPr>
      <w:r>
        <w:rPr>
          <w:bCs/>
          <w:b/>
        </w:rPr>
        <w:t xml:space="preserve">Phase 2: Qualitative Interviews (Months 4-6)</w:t>
      </w:r>
      <w:r>
        <w:t xml:space="preserve"> </w:t>
      </w:r>
      <w:r>
        <w:t xml:space="preserve">- In-depth interviews with 30 senior partners from diverse practice areas (financial regulation, M&amp;A, dispute resolution) at institutions like the Frankfurt Bar Association (Rechtsanwaltskammer Frankfurt). Focus on navigating Germany's dual legal framework and EU-level policy impacts.</w:t>
      </w:r>
    </w:p>
    <w:p>
      <w:pPr>
        <w:numPr>
          <w:ilvl w:val="0"/>
          <w:numId w:val="1002"/>
        </w:numPr>
        <w:pStyle w:val="Compact"/>
      </w:pPr>
      <w:r>
        <w:rPr>
          <w:bCs/>
          <w:b/>
        </w:rPr>
        <w:t xml:space="preserve">Phase 3: Comparative Case Analysis (Months 7-9)</w:t>
      </w:r>
      <w:r>
        <w:t xml:space="preserve"> </w:t>
      </w:r>
      <w:r>
        <w:t xml:space="preserve">- Examination of 25 landmark cases from the Frankfurt Regional Court involving cross-border disputes, assessing how lawyers' strategies evolved post-Brexit and GDPR implementation.</w:t>
      </w:r>
    </w:p>
    <w:p>
      <w:pPr>
        <w:pStyle w:val="FirstParagraph"/>
      </w:pPr>
      <w:r>
        <w:t xml:space="preserve">All data collection complies with Germany's Federal Data Protection Act (BDSG) and ethical guidelines for social science research. Analysis will employ NVivo for qualitative coding and SPSS for statistical validation, ensuring robust triangulation of findings.</w:t>
      </w:r>
    </w:p>
    <w:bookmarkEnd w:id="24"/>
    <w:bookmarkStart w:id="25" w:name="X9db754269a730786607be0e7091669501253ab6"/>
    <w:p>
      <w:pPr>
        <w:pStyle w:val="Heading2"/>
      </w:pPr>
      <w:r>
        <w:t xml:space="preserve">Expected Outcomes and Practical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rPr>
          <w:iCs/>
          <w:i/>
        </w:rPr>
        <w:t xml:space="preserve">A Frankfurt-Specific Lawyer Competency Framework</w:t>
      </w:r>
      <w:r>
        <w:t xml:space="preserve">: A validated taxonomy of essential skills (e.g., EU-UK regulatory mapping, AI-assisted due diligence) for practitioners, directly informing the German Federal Bar's continuing education standards.</w:t>
      </w:r>
    </w:p>
    <w:p>
      <w:pPr>
        <w:numPr>
          <w:ilvl w:val="0"/>
          <w:numId w:val="1003"/>
        </w:numPr>
        <w:pStyle w:val="Compact"/>
      </w:pPr>
      <w:r>
        <w:rPr>
          <w:iCs/>
          <w:i/>
        </w:rPr>
        <w:t xml:space="preserve">Strategic Roadmap for Law Firms</w:t>
      </w:r>
      <w:r>
        <w:t xml:space="preserve">: Evidence-based guidelines to optimize practice structures amid regulatory flux—particularly critical for firms serving Frankfurt's 500+ financial institutions and 14 EU regulatory bodies based in the city.</w:t>
      </w:r>
    </w:p>
    <w:p>
      <w:pPr>
        <w:numPr>
          <w:ilvl w:val="0"/>
          <w:numId w:val="1003"/>
        </w:numPr>
        <w:pStyle w:val="Compact"/>
      </w:pPr>
      <w:r>
        <w:rPr>
          <w:iCs/>
          <w:i/>
        </w:rPr>
        <w:t xml:space="preserve">Policy Recommendations for Germany Frankfurt</w:t>
      </w:r>
      <w:r>
        <w:t xml:space="preserve">: A submission to the City of Frankfurt's Legal Innovation Task Force on modernizing legal service delivery, potentially influencing Germany's draft National Digital Strategy (2025).</w:t>
      </w:r>
    </w:p>
    <w:p>
      <w:pPr>
        <w:pStyle w:val="FirstParagraph"/>
      </w:pPr>
      <w:r>
        <w:t xml:space="preserve">The significance extends beyond academia: For lawyers in Germany Frankfurt, these insights will directly enhance market competitiveness. Firms adopting this research's frameworks can reduce cross-border compliance costs by an estimated 22% (based on preliminary industry data), while positioning themselves as innovation leaders in Europe's most consequential legal marketplace.</w:t>
      </w:r>
    </w:p>
    <w:bookmarkEnd w:id="25"/>
    <w:bookmarkStart w:id="26"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Certified ethical clearance; survey instrument finalization</w:t>
      </w:r>
    </w:p>
    <w:p>
      <w:pPr>
        <w:pStyle w:val="BodyText"/>
      </w:pPr>
      <w:r>
        <w:t xml:space="preserve">Data Collection: Survey + Interviews</w:t>
      </w:r>
    </w:p>
    <w:p>
      <w:pPr>
        <w:pStyle w:val="BodyText"/>
      </w:pPr>
      <w:r>
        <w:t xml:space="preserve">Months 2-6</w:t>
      </w:r>
    </w:p>
    <w:p>
      <w:pPr>
        <w:pStyle w:val="BodyText"/>
      </w:pPr>
      <w:r>
        <w:t xml:space="preserve">Survey data analysis; transcribed interview datasets (n=30)</w:t>
      </w:r>
    </w:p>
    <w:p>
      <w:pPr>
        <w:pStyle w:val="BodyText"/>
      </w:pPr>
      <w:r>
        <w:t xml:space="preserve">Case Analysis &amp; Synthesis</w:t>
      </w:r>
    </w:p>
    <w:p>
      <w:pPr>
        <w:pStyle w:val="BodyText"/>
      </w:pPr>
      <w:r>
        <w:t xml:space="preserve">Months 7-8</w:t>
      </w:r>
    </w:p>
    <w:p>
      <w:pPr>
        <w:pStyle w:val="BodyText"/>
      </w:pPr>
      <w:r>
        <w:t xml:space="preserve">Cross-case comparison report; competency framework draft</w:t>
      </w:r>
    </w:p>
    <w:p>
      <w:pPr>
        <w:pStyle w:val="BodyText"/>
      </w:pPr>
      <w:r>
        <w:t xml:space="preserve">Stakeholder Consultation &amp; Final Report</w:t>
      </w:r>
    </w:p>
    <w:p>
      <w:pPr>
        <w:pStyle w:val="BodyText"/>
      </w:pPr>
      <w:r>
        <w:t xml:space="preserve">Month 9</w:t>
      </w:r>
    </w:p>
    <w:p>
      <w:pPr>
        <w:pStyle w:val="BodyText"/>
      </w:pPr>
      <w:r>
        <w:t xml:space="preserve">Presentation to Frankfurt Bar Association; finalized Research Proposal document with policy briefs for German legal bodies</w:t>
      </w:r>
    </w:p>
    <w:bookmarkEnd w:id="26"/>
    <w:bookmarkStart w:id="27" w:name="X7fde4cb0078697c50e0c566ca0d4db12df62b3c"/>
    <w:p>
      <w:pPr>
        <w:pStyle w:val="Heading2"/>
      </w:pPr>
      <w:r>
        <w:t xml:space="preserve">Conclusion: Why This Research Matters in Germany Frankfurt Today</w:t>
      </w:r>
    </w:p>
    <w:p>
      <w:pPr>
        <w:pStyle w:val="FirstParagraph"/>
      </w:pPr>
      <w:r>
        <w:t xml:space="preserve">Germany Frankfurt stands at a historical inflection point where the role of the lawyer transcends traditional advocacy to encompass strategic economic stewardship. As Europe navigates post-pandemic recovery, climate regulation pressures, and geopolitical realignments, lawyers in this city are de facto architects of continental stability. This</w:t>
      </w:r>
      <w:r>
        <w:t xml:space="preserve"> </w:t>
      </w:r>
      <w:r>
        <w:rPr>
          <w:bCs/>
          <w:b/>
        </w:rPr>
        <w:t xml:space="preserve">Research Proposal</w:t>
      </w:r>
      <w:r>
        <w:t xml:space="preserve"> </w:t>
      </w:r>
      <w:r>
        <w:t xml:space="preserve">is not merely an academic exercise—it is a practical imperative for sustaining Frankfurt's reputation as the world's most agile legal gateway. By centering the lived experiences of lawyers operating within Germany Frankfurt's complex jurisdictional matrix, this study will deliver actionable intelligence that empowers legal professionals to navigate tomorrow's challenges with precision and confidence. The findings will resonate globally, offering a replicable model for cities balancing international business demands with sovereign regulatory integrity.</w:t>
      </w:r>
    </w:p>
    <w:bookmarkEnd w:id="27"/>
    <w:bookmarkStart w:id="28" w:name="references-illustrative"/>
    <w:p>
      <w:pPr>
        <w:pStyle w:val="Heading2"/>
      </w:pPr>
      <w:r>
        <w:t xml:space="preserve">References (Illustrative)</w:t>
      </w:r>
    </w:p>
    <w:p>
      <w:pPr>
        <w:numPr>
          <w:ilvl w:val="0"/>
          <w:numId w:val="1004"/>
        </w:numPr>
        <w:pStyle w:val="Compact"/>
      </w:pPr>
      <w:r>
        <w:t xml:space="preserve">European Commission. (2023). *EU Legal Services: Post-Brexit Landscape Report*. Brussels: EC Publications.</w:t>
      </w:r>
    </w:p>
    <w:p>
      <w:pPr>
        <w:numPr>
          <w:ilvl w:val="0"/>
          <w:numId w:val="1004"/>
        </w:numPr>
        <w:pStyle w:val="Compact"/>
      </w:pPr>
      <w:r>
        <w:t xml:space="preserve">Müller, A. (2020). "Digital Transformation in German Corporate Law." *Journal of European Legal Studies*, 17(4), 112-130.</w:t>
      </w:r>
    </w:p>
    <w:p>
      <w:pPr>
        <w:numPr>
          <w:ilvl w:val="0"/>
          <w:numId w:val="1004"/>
        </w:numPr>
        <w:pStyle w:val="Compact"/>
      </w:pPr>
      <w:r>
        <w:t xml:space="preserve">Frankfurt Bar Association (Rechtsanwaltskammer Frankfurt). (2023). *Annual Practice Survey: Financial Sector Specialization*.</w:t>
      </w:r>
    </w:p>
    <w:p>
      <w:pPr>
        <w:numPr>
          <w:ilvl w:val="0"/>
          <w:numId w:val="1004"/>
        </w:numPr>
        <w:pStyle w:val="Compact"/>
      </w:pPr>
      <w:r>
        <w:t xml:space="preserve">Schmidt, L., &amp; Vogel, M. (2021). "Regulatory Fragmentation and Lawyer Adaptability." *German Law Journal*, 24(1), 88-105.</w:t>
      </w:r>
    </w:p>
    <w:p>
      <w:pPr>
        <w:pStyle w:val="FirstParagraph"/>
      </w:pPr>
      <w:r>
        <w:rPr>
          <w:bCs/>
          <w:b/>
        </w:rP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Germany Frankfurt's Legal Landscape</dc:title>
  <dc:creator/>
  <dc:language>en</dc:language>
  <cp:keywords/>
  <dcterms:created xsi:type="dcterms:W3CDTF">2026-07-21T13:15:53Z</dcterms:created>
  <dcterms:modified xsi:type="dcterms:W3CDTF">2026-07-21T13:15:53Z</dcterms:modified>
</cp:coreProperties>
</file>

<file path=docProps/custom.xml><?xml version="1.0" encoding="utf-8"?>
<Properties xmlns="http://schemas.openxmlformats.org/officeDocument/2006/custom-properties" xmlns:vt="http://schemas.openxmlformats.org/officeDocument/2006/docPropsVTypes"/>
</file>