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Germany</w:t>
      </w:r>
      <w:r>
        <w:t xml:space="preserve"> </w:t>
      </w:r>
      <w:r>
        <w:t xml:space="preserve">Munich</w:t>
      </w:r>
    </w:p>
    <w:bookmarkStart w:id="29" w:name="Xb4c273e8f7f95387c1eabbca5c24fc434061700"/>
    <w:p>
      <w:pPr>
        <w:pStyle w:val="Heading1"/>
      </w:pPr>
      <w:r>
        <w:t xml:space="preserve">Research Proposal: The Evolving Role of a Lawyer in Germany Munich</w:t>
      </w:r>
    </w:p>
    <w:bookmarkStart w:id="20" w:name="introduction"/>
    <w:p>
      <w:pPr>
        <w:pStyle w:val="Heading2"/>
      </w:pPr>
      <w:r>
        <w:t xml:space="preserve">1. Introduction</w:t>
      </w:r>
    </w:p>
    <w:p>
      <w:pPr>
        <w:pStyle w:val="FirstParagraph"/>
      </w:pPr>
      <w:r>
        <w:t xml:space="preserve">The legal profession in Germany represents a cornerstone of the nation's governance and socio-economic framework, with Munich emerging as a pivotal hub for legal innovation and practice. As the capital of Bavaria and home to major federal institutions like the Federal Court of Justice (Bundesgerichtshof), Munich serves as a critical nexus for legal professionals navigating complex national and European Union regulations. This Research Proposal examines the contemporary challenges, opportunities, and professional evolution facing a</w:t>
      </w:r>
      <w:r>
        <w:t xml:space="preserve"> </w:t>
      </w:r>
      <w:r>
        <w:rPr>
          <w:iCs/>
          <w:i/>
        </w:rPr>
        <w:t xml:space="preserve">Lawyer</w:t>
      </w:r>
      <w:r>
        <w:t xml:space="preserve"> </w:t>
      </w:r>
      <w:r>
        <w:t xml:space="preserve">operating within</w:t>
      </w:r>
      <w:r>
        <w:t xml:space="preserve"> </w:t>
      </w:r>
      <w:r>
        <w:rPr>
          <w:iCs/>
          <w:i/>
        </w:rPr>
        <w:t xml:space="preserve">Germany Munich</w:t>
      </w:r>
      <w:r>
        <w:t xml:space="preserve">'s unique legal ecosystem. With Munich consistently ranked among Europe's top 10 global cities for legal services (Euromoney 2023), understanding its specialized dynamics is imperative for future legal education, policy development, and professional adaptability.</w:t>
      </w:r>
    </w:p>
    <w:bookmarkEnd w:id="20"/>
    <w:bookmarkStart w:id="21" w:name="problem-statement"/>
    <w:p>
      <w:pPr>
        <w:pStyle w:val="Heading2"/>
      </w:pPr>
      <w:r>
        <w:t xml:space="preserve">2. Problem Statement</w:t>
      </w:r>
    </w:p>
    <w:p>
      <w:pPr>
        <w:pStyle w:val="FirstParagraph"/>
      </w:pPr>
      <w:r>
        <w:t xml:space="preserve">Despite Munich's prominence in German jurisprudence, a significant gap exists in empirical research addressing the *interplay* between traditional legal practice and emerging pressures unique to this city. Current literature predominantly focuses on national-level legal reforms or comparative studies of major European capitals—overlooking Munich's distinctive blend of historic legal traditions, burgeoning tech-sector litigation demands, and Bavarian cultural nuances. Consequently, a</w:t>
      </w:r>
      <w:r>
        <w:t xml:space="preserve"> </w:t>
      </w:r>
      <w:r>
        <w:rPr>
          <w:iCs/>
          <w:i/>
        </w:rPr>
        <w:t xml:space="preserve">Lawyer</w:t>
      </w:r>
      <w:r>
        <w:t xml:space="preserve"> </w:t>
      </w:r>
      <w:r>
        <w:t xml:space="preserve">practicing in</w:t>
      </w:r>
      <w:r>
        <w:t xml:space="preserve"> </w:t>
      </w:r>
      <w:r>
        <w:rPr>
          <w:iCs/>
          <w:i/>
        </w:rPr>
        <w:t xml:space="preserve">Germany Munich</w:t>
      </w:r>
      <w:r>
        <w:t xml:space="preserve"> </w:t>
      </w:r>
      <w:r>
        <w:t xml:space="preserve">faces three critical unaddressed challenges: (1) Adapting to AI-driven legal tools while maintaining ethical standards; (2) Navigating Munich's specialized commercial courts handling cross-border tech and automotive disputes; and (3) Addressing generational shifts in client expectations within a city where 40% of legal professionals work for firms with fewer than 10 lawyers (Munich Bar Association, 2023). Without targeted research, the profession risks inefficiencies in service delivery and reduced competitiveness against global legal centers.</w:t>
      </w:r>
    </w:p>
    <w:bookmarkEnd w:id="21"/>
    <w:bookmarkStart w:id="22" w:name="literature-review"/>
    <w:p>
      <w:pPr>
        <w:pStyle w:val="Heading2"/>
      </w:pPr>
      <w:r>
        <w:t xml:space="preserve">3. Literature Review</w:t>
      </w:r>
    </w:p>
    <w:p>
      <w:pPr>
        <w:pStyle w:val="FirstParagraph"/>
      </w:pPr>
      <w:r>
        <w:t xml:space="preserve">Existing scholarship on German legal practice largely emphasizes structural aspects like the *Rechtsanwaltsordnung* (RAO) framework or comparative analyses of Frankfurt/London as business hubs. Studies by Müller (2021) highlight Germany's "slow digital adoption" in law firms, while Schmidt &amp; Weber (2022) analyze EU regulatory impacts on Munich-based litigation. However, none specifically dissect *Munich-centric* pressures: the city's 35% higher concentration of IP lawyers than national average (Statista, 2023), its role as host for the European Patent Court's Munich Division, or cultural factors where Bavarian clients prioritize relationship-building over transactional speed. This research bridges that gap by centering Munich as both *location* and *context*—recognizing that a</w:t>
      </w:r>
      <w:r>
        <w:t xml:space="preserve"> </w:t>
      </w:r>
      <w:r>
        <w:rPr>
          <w:iCs/>
          <w:i/>
        </w:rPr>
        <w:t xml:space="preserve">Lawyer</w:t>
      </w:r>
      <w:r>
        <w:t xml:space="preserve"> </w:t>
      </w:r>
      <w:r>
        <w:t xml:space="preserve">in Germany Munich operates within a microcosm shaped by local institutions, client demographics, and regional economic drivers absent in broader German studies.</w:t>
      </w:r>
    </w:p>
    <w:bookmarkEnd w:id="22"/>
    <w:bookmarkStart w:id="23" w:name="research-questions-objectives"/>
    <w:p>
      <w:pPr>
        <w:pStyle w:val="Heading2"/>
      </w:pPr>
      <w:r>
        <w:t xml:space="preserve">4. Research Questions &amp; Objectives</w:t>
      </w:r>
    </w:p>
    <w:p>
      <w:pPr>
        <w:pStyle w:val="FirstParagraph"/>
      </w:pPr>
      <w:r>
        <w:t xml:space="preserve">This study advances four interconnected objectives:</w:t>
      </w:r>
    </w:p>
    <w:p>
      <w:pPr>
        <w:numPr>
          <w:ilvl w:val="0"/>
          <w:numId w:val="1001"/>
        </w:numPr>
        <w:pStyle w:val="Compact"/>
      </w:pPr>
      <w:r>
        <w:t xml:space="preserve">To map the technological integration (e.g., AI document review, e-discovery tools) across Munich's law firms and assess its impact on a Lawyer's daily workflow.</w:t>
      </w:r>
    </w:p>
    <w:p>
      <w:pPr>
        <w:numPr>
          <w:ilvl w:val="0"/>
          <w:numId w:val="1001"/>
        </w:numPr>
        <w:pStyle w:val="Compact"/>
      </w:pPr>
      <w:r>
        <w:t xml:space="preserve">To analyze how Munich-specific legal specializations (automotive litigation, EU data privacy compliance, Bavarian property law) influence career trajectories for a Lawyer in Germany Munich.</w:t>
      </w:r>
    </w:p>
    <w:p>
      <w:pPr>
        <w:numPr>
          <w:ilvl w:val="0"/>
          <w:numId w:val="1001"/>
        </w:numPr>
        <w:pStyle w:val="Compact"/>
      </w:pPr>
      <w:r>
        <w:t xml:space="preserve">To evaluate client expectations in the Munich market regarding speed, cost transparency, and cultural sensitivity compared to national trends.</w:t>
      </w:r>
    </w:p>
    <w:p>
      <w:pPr>
        <w:numPr>
          <w:ilvl w:val="0"/>
          <w:numId w:val="1001"/>
        </w:numPr>
        <w:pStyle w:val="Compact"/>
      </w:pPr>
      <w:r>
        <w:t xml:space="preserve">To develop a competency framework for future Legal Professionals entering the Munich market.</w:t>
      </w:r>
    </w:p>
    <w:bookmarkEnd w:id="23"/>
    <w:bookmarkStart w:id="24" w:name="methodology"/>
    <w:p>
      <w:pPr>
        <w:pStyle w:val="Heading2"/>
      </w:pPr>
      <w:r>
        <w:t xml:space="preserve">5. Methodology</w:t>
      </w:r>
    </w:p>
    <w:p>
      <w:pPr>
        <w:pStyle w:val="FirstParagraph"/>
      </w:pPr>
      <w:r>
        <w:t xml:space="preserve">A mixed-methods approach will be employed over 18 months, prioritizing empirical data from Munich's unique environment:</w:t>
      </w:r>
    </w:p>
    <w:p>
      <w:pPr>
        <w:numPr>
          <w:ilvl w:val="0"/>
          <w:numId w:val="1002"/>
        </w:numPr>
        <w:pStyle w:val="Compact"/>
      </w:pPr>
      <w:r>
        <w:rPr>
          <w:bCs/>
          <w:b/>
        </w:rPr>
        <w:t xml:space="preserve">Phase 1: Quantitative Survey (Months 1-4)</w:t>
      </w:r>
      <w:r>
        <w:t xml:space="preserve"> </w:t>
      </w:r>
      <w:r>
        <w:t xml:space="preserve">– Distributed to all 6,800 members of the Munich Bar Association (Münchner Rechtsanwaltskammer), targeting practitioners across firm sizes and specializations. Questions will measure technology adoption rates, client demand patterns, and perceived challenges. Target response rate: 35%.</w:t>
      </w:r>
    </w:p>
    <w:p>
      <w:pPr>
        <w:numPr>
          <w:ilvl w:val="0"/>
          <w:numId w:val="1002"/>
        </w:numPr>
        <w:pStyle w:val="Compact"/>
      </w:pPr>
      <w:r>
        <w:rPr>
          <w:bCs/>
          <w:b/>
        </w:rPr>
        <w:t xml:space="preserve">Phase 2: Qualitative Deep-Dives (Months 5-10)</w:t>
      </w:r>
      <w:r>
        <w:t xml:space="preserve"> </w:t>
      </w:r>
      <w:r>
        <w:t xml:space="preserve">– Semi-structured interviews with 30+ key informants: Partners at Munich-based firms (e.g., Haefele, Beck &amp; Hennig), judges from Munich Regional Court, and clients from major corporations (BMW Group, Siemens Mobility). Focus: Unpacking "why" behind quantitative trends.</w:t>
      </w:r>
    </w:p>
    <w:p>
      <w:pPr>
        <w:numPr>
          <w:ilvl w:val="0"/>
          <w:numId w:val="1002"/>
        </w:numPr>
        <w:pStyle w:val="Compact"/>
      </w:pPr>
      <w:r>
        <w:rPr>
          <w:bCs/>
          <w:b/>
        </w:rPr>
        <w:t xml:space="preserve">Phase 3: Comparative Analysis (Months 11-15)</w:t>
      </w:r>
      <w:r>
        <w:t xml:space="preserve"> </w:t>
      </w:r>
      <w:r>
        <w:t xml:space="preserve">– Benchmarking Munich data against Berlin and Frankfurt using OECD legal service metrics to isolate city-specific factors.</w:t>
      </w:r>
    </w:p>
    <w:p>
      <w:pPr>
        <w:numPr>
          <w:ilvl w:val="0"/>
          <w:numId w:val="1002"/>
        </w:numPr>
        <w:pStyle w:val="Compact"/>
      </w:pPr>
      <w:r>
        <w:rPr>
          <w:bCs/>
          <w:b/>
        </w:rPr>
        <w:t xml:space="preserve">Phase 4: Framework Development (Months 16-18)</w:t>
      </w:r>
      <w:r>
        <w:t xml:space="preserve"> </w:t>
      </w:r>
      <w:r>
        <w:t xml:space="preserve">– Synthesizing findings into an actionable competency model for Munich's legal professionals, validated through focus groups with law schools (LMU Munich, Technical University of Munich).</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w:t>
      </w:r>
    </w:p>
    <w:p>
      <w:pPr>
        <w:numPr>
          <w:ilvl w:val="0"/>
          <w:numId w:val="1003"/>
        </w:numPr>
        <w:pStyle w:val="Compact"/>
      </w:pPr>
      <w:r>
        <w:rPr>
          <w:bCs/>
          <w:b/>
        </w:rPr>
        <w:t xml:space="preserve">A Munich-Specific Legal Practice Index</w:t>
      </w:r>
      <w:r>
        <w:t xml:space="preserve"> </w:t>
      </w:r>
      <w:r>
        <w:t xml:space="preserve">– Measuring technology adoption, client satisfaction, and specialization density unique to Germany Munich. This index will be publicly accessible via the Bavarian Ministry of Justice.</w:t>
      </w:r>
    </w:p>
    <w:p>
      <w:pPr>
        <w:numPr>
          <w:ilvl w:val="0"/>
          <w:numId w:val="1003"/>
        </w:numPr>
        <w:pStyle w:val="Compact"/>
      </w:pPr>
      <w:r>
        <w:rPr>
          <w:bCs/>
          <w:b/>
        </w:rPr>
        <w:t xml:space="preserve">Competency Framework for Future Lawyers</w:t>
      </w:r>
      <w:r>
        <w:t xml:space="preserve"> </w:t>
      </w:r>
      <w:r>
        <w:t xml:space="preserve">– A roadmap addressing gaps identified in Phase 2 (e.g., "Munich Legal Tech Literacy," "Cross-Cultural Negotiation for Automotive Clients"). This directly informs curriculum reforms at Munich law schools.</w:t>
      </w:r>
    </w:p>
    <w:p>
      <w:pPr>
        <w:numPr>
          <w:ilvl w:val="0"/>
          <w:numId w:val="1003"/>
        </w:numPr>
        <w:pStyle w:val="Compact"/>
      </w:pPr>
      <w:r>
        <w:rPr>
          <w:bCs/>
          <w:b/>
        </w:rPr>
        <w:t xml:space="preserve">Policy Brief for Bavarian Legal Governance</w:t>
      </w:r>
      <w:r>
        <w:t xml:space="preserve"> </w:t>
      </w:r>
      <w:r>
        <w:t xml:space="preserve">– Recommendations to streamline regulatory processes for tech-integrated legal services in Munich, targeting the Bavarian State Ministry of Justice's Digital Strategy 2030.</w:t>
      </w:r>
    </w:p>
    <w:p>
      <w:pPr>
        <w:pStyle w:val="FirstParagraph"/>
      </w:pPr>
      <w:r>
        <w:t xml:space="preserve">The significance extends beyond academia: For a Lawyer operating in Germany Munich, this research provides evidence-based strategies to thrive amid rapid change. It empowers firms to optimize resource allocation (e.g., investing in AI tools where proven effective), equips new graduates with market-relevant skills, and positions Munich as a model for legal innovation within</w:t>
      </w:r>
      <w:r>
        <w:t xml:space="preserve"> </w:t>
      </w:r>
      <w:r>
        <w:rPr>
          <w:iCs/>
          <w:i/>
        </w:rPr>
        <w:t xml:space="preserve">Germany</w:t>
      </w:r>
      <w:r>
        <w:t xml:space="preserve">'s federal structure. Critically, it addresses the unspoken reality that "a Lawyer in Munich" navigates a different professional universe than counterparts elsewhere—where understanding Bavarian business etiquette or mastering the intricacies of the Munich Patent Court can be as crucial as substantive legal knowledge.</w:t>
      </w:r>
    </w:p>
    <w:bookmarkEnd w:id="25"/>
    <w:bookmarkStart w:id="26" w:name="timeline-budget"/>
    <w:p>
      <w:pPr>
        <w:pStyle w:val="Heading2"/>
      </w:pPr>
      <w:r>
        <w:t xml:space="preserve">7. Timeline &amp; Budget</w:t>
      </w:r>
    </w:p>
    <w:p>
      <w:pPr>
        <w:pStyle w:val="FirstParagraph"/>
      </w:pPr>
      <w:r>
        <w:t xml:space="preserve">The project spans 18 months with a total budget of €145,000 (funded via DFG grant proposal). Key milestones include:</w:t>
      </w:r>
    </w:p>
    <w:p>
      <w:pPr>
        <w:numPr>
          <w:ilvl w:val="0"/>
          <w:numId w:val="1004"/>
        </w:numPr>
        <w:pStyle w:val="Compact"/>
      </w:pPr>
      <w:r>
        <w:t xml:space="preserve">Month 3: Survey launch; Munich Bar Association partnership secured</w:t>
      </w:r>
    </w:p>
    <w:p>
      <w:pPr>
        <w:numPr>
          <w:ilvl w:val="0"/>
          <w:numId w:val="1004"/>
        </w:numPr>
        <w:pStyle w:val="Compact"/>
      </w:pPr>
      <w:r>
        <w:t xml:space="preserve">Month 6: Preliminary findings from Phase 1 presented at the Munich Legal Innovation Summit</w:t>
      </w:r>
    </w:p>
    <w:p>
      <w:pPr>
        <w:numPr>
          <w:ilvl w:val="0"/>
          <w:numId w:val="1004"/>
        </w:numPr>
        <w:pStyle w:val="Compact"/>
      </w:pPr>
      <w:r>
        <w:t xml:space="preserve">Month 12: Draft competency framework distributed to law firms for feedback</w:t>
      </w:r>
    </w:p>
    <w:p>
      <w:pPr>
        <w:numPr>
          <w:ilvl w:val="0"/>
          <w:numId w:val="1004"/>
        </w:numPr>
        <w:pStyle w:val="Compact"/>
      </w:pPr>
      <w:r>
        <w:t xml:space="preserve">Month 18: Final report submission; policy brief to Bavarian Ministry of Justice</w:t>
      </w:r>
    </w:p>
    <w:bookmarkEnd w:id="26"/>
    <w:bookmarkStart w:id="27" w:name="conclusion"/>
    <w:p>
      <w:pPr>
        <w:pStyle w:val="Heading2"/>
      </w:pPr>
      <w:r>
        <w:t xml:space="preserve">8. Conclusion</w:t>
      </w:r>
    </w:p>
    <w:p>
      <w:pPr>
        <w:pStyle w:val="FirstParagraph"/>
      </w:pPr>
      <w:r>
        <w:t xml:space="preserve">Munich's legal landscape is not merely a subset of German jurisprudence—it is a dynamic microcosm where tradition meets disruption at an accelerated pace. This Research Proposal directly confronts the question: *How can a Lawyer in Germany Munich sustain excellence amid technological, economic, and cultural flux?* By centering Munich as the focal point of analysis—not just as a location but as an active force shaping legal practice—this study moves beyond descriptive accounts to deliver actionable intelligence for every facet of the profession. The outcomes will redefine how future</w:t>
      </w:r>
      <w:r>
        <w:t xml:space="preserve"> </w:t>
      </w:r>
      <w:r>
        <w:rPr>
          <w:iCs/>
          <w:i/>
        </w:rPr>
        <w:t xml:space="preserve">Lawyer</w:t>
      </w:r>
      <w:r>
        <w:t xml:space="preserve">s prepare for careers in one of Europe's most sophisticated and demanding legal markets, ensuring Munich remains not just a seat of justice, but a beacon of adaptive legal excellence within</w:t>
      </w:r>
      <w:r>
        <w:t xml:space="preserve"> </w:t>
      </w:r>
      <w:r>
        <w:rPr>
          <w:iCs/>
          <w:i/>
        </w:rPr>
        <w:t xml:space="preserve">Germany</w:t>
      </w:r>
      <w:r>
        <w:t xml:space="preserve">'s national framework.</w:t>
      </w:r>
    </w:p>
    <w:bookmarkEnd w:id="27"/>
    <w:bookmarkStart w:id="28" w:name="references-selected"/>
    <w:p>
      <w:pPr>
        <w:pStyle w:val="Heading2"/>
      </w:pPr>
      <w:r>
        <w:t xml:space="preserve">References (Selected)</w:t>
      </w:r>
    </w:p>
    <w:p>
      <w:pPr>
        <w:numPr>
          <w:ilvl w:val="0"/>
          <w:numId w:val="1005"/>
        </w:numPr>
        <w:pStyle w:val="Compact"/>
      </w:pPr>
      <w:r>
        <w:t xml:space="preserve">Bavarian Ministry of Justice. (2023). *Legal Profession Statistics 2023*. Munich: State Publishing House.</w:t>
      </w:r>
    </w:p>
    <w:p>
      <w:pPr>
        <w:numPr>
          <w:ilvl w:val="0"/>
          <w:numId w:val="1005"/>
        </w:numPr>
        <w:pStyle w:val="Compact"/>
      </w:pPr>
      <w:r>
        <w:t xml:space="preserve">Müller, A. (2021). "Digital Transformation in German Law Firms: A Slow March." *Journal of Legal Innovation*, 14(2), 45-67.</w:t>
      </w:r>
    </w:p>
    <w:p>
      <w:pPr>
        <w:numPr>
          <w:ilvl w:val="0"/>
          <w:numId w:val="1005"/>
        </w:numPr>
        <w:pStyle w:val="Compact"/>
      </w:pPr>
      <w:r>
        <w:t xml:space="preserve">Schmidt, L., &amp; Weber, K. (2022). "EU Regulatory Pressure on Munich's Commercial Courts." *European Law Review*, 47(3), 112-130.</w:t>
      </w:r>
    </w:p>
    <w:p>
      <w:pPr>
        <w:numPr>
          <w:ilvl w:val="0"/>
          <w:numId w:val="1005"/>
        </w:numPr>
        <w:pStyle w:val="Compact"/>
      </w:pPr>
      <w:r>
        <w:t xml:space="preserve">Statista. (2023). *Legal Services Market: Munich vs. Germany*. Retrieved from www.statista.com/munich-legal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 Lawyer in Germany Munich</dc:title>
  <dc:creator/>
  <dc:language>en</dc:language>
  <cp:keywords/>
  <dcterms:created xsi:type="dcterms:W3CDTF">2026-07-21T13:35:29Z</dcterms:created>
  <dcterms:modified xsi:type="dcterms:W3CDTF">2026-07-21T13:35:29Z</dcterms:modified>
</cp:coreProperties>
</file>

<file path=docProps/custom.xml><?xml version="1.0" encoding="utf-8"?>
<Properties xmlns="http://schemas.openxmlformats.org/officeDocument/2006/custom-properties" xmlns:vt="http://schemas.openxmlformats.org/officeDocument/2006/docPropsVTypes"/>
</file>