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India</w:t>
      </w:r>
      <w:r>
        <w:t xml:space="preserve"> </w:t>
      </w:r>
      <w:r>
        <w:t xml:space="preserve">Mumbai's</w:t>
      </w:r>
      <w:r>
        <w:t xml:space="preserve"> </w:t>
      </w:r>
      <w:r>
        <w:t xml:space="preserve">Legal</w:t>
      </w:r>
      <w:r>
        <w:t xml:space="preserve"> </w:t>
      </w:r>
      <w:r>
        <w:t xml:space="preserve">Ecosystem</w:t>
      </w:r>
    </w:p>
    <w:bookmarkStart w:id="33" w:name="Xa730b16df23714ada7db1e139efb60d088d02ec"/>
    <w:p>
      <w:pPr>
        <w:pStyle w:val="Heading1"/>
      </w:pPr>
      <w:r>
        <w:t xml:space="preserve">Research Proposal: The Evolving Role of Lawyer in India Mumbai's Legal Ecosystem</w:t>
      </w:r>
    </w:p>
    <w:bookmarkStart w:id="20" w:name="i.-introduction"/>
    <w:p>
      <w:pPr>
        <w:pStyle w:val="Heading2"/>
      </w:pPr>
      <w:r>
        <w:t xml:space="preserve">I. Introduction</w:t>
      </w:r>
    </w:p>
    <w:p>
      <w:pPr>
        <w:pStyle w:val="FirstParagraph"/>
      </w:pPr>
      <w:r>
        <w:t xml:space="preserve">The legal profession in India represents a cornerstone of democratic governance and socio-economic development, with Mumbai emerging as the nation's preeminent legal hub. As the financial capital and largest metropolitan city, Mumbai hosts over 30% of India's registered lawyers, including leading advocates at the Bombay High Court and specialized practitioners across commercial, criminal, and corporate law domains. This research proposal seeks to investigate the contemporary challenges, technological disruptions, and evolving professional responsibilities of</w:t>
      </w:r>
      <w:r>
        <w:t xml:space="preserve"> </w:t>
      </w:r>
      <w:r>
        <w:rPr>
          <w:bCs/>
          <w:b/>
        </w:rPr>
        <w:t xml:space="preserve">Lawyer</w:t>
      </w:r>
      <w:r>
        <w:t xml:space="preserve"> </w:t>
      </w:r>
      <w:r>
        <w:t xml:space="preserve">in</w:t>
      </w:r>
      <w:r>
        <w:t xml:space="preserve"> </w:t>
      </w:r>
      <w:r>
        <w:rPr>
          <w:bCs/>
          <w:b/>
        </w:rPr>
        <w:t xml:space="preserve">India Mumbai</w:t>
      </w:r>
      <w:r>
        <w:t xml:space="preserve">'s dynamic legal landscape. With the Supreme Court of India reporting a 20% annual increase in case filings since 2019, understanding the systemic pressures on Mumbai's legal practitioners has become imperative for judicial efficiency and access to justice.</w:t>
      </w:r>
    </w:p>
    <w:bookmarkEnd w:id="20"/>
    <w:bookmarkStart w:id="21" w:name="ii.-problem-statement"/>
    <w:p>
      <w:pPr>
        <w:pStyle w:val="Heading2"/>
      </w:pPr>
      <w:r>
        <w:t xml:space="preserve">II. Problem Statement</w:t>
      </w:r>
    </w:p>
    <w:p>
      <w:pPr>
        <w:pStyle w:val="FirstParagraph"/>
      </w:pPr>
      <w:r>
        <w:t xml:space="preserve">Mumbai's legal ecosystem faces unprecedented strain due to a confluence of factors: an annual backlog of over 35 million cases across Indian courts, the digital transformation wave in legal practice, and socio-economic disparities affecting client accessibility. Despite Mumbai housing 18% of India's total legal professionals (National Judicial Data Grid, 2023), a critical gap exists between theoretical legal education and on-ground practitioner realities. This research addresses the urgent need to map how</w:t>
      </w:r>
      <w:r>
        <w:t xml:space="preserve"> </w:t>
      </w:r>
      <w:r>
        <w:rPr>
          <w:bCs/>
          <w:b/>
        </w:rPr>
        <w:t xml:space="preserve">Lawyer</w:t>
      </w:r>
      <w:r>
        <w:t xml:space="preserve"> </w:t>
      </w:r>
      <w:r>
        <w:t xml:space="preserve">in</w:t>
      </w:r>
      <w:r>
        <w:t xml:space="preserve"> </w:t>
      </w:r>
      <w:r>
        <w:rPr>
          <w:bCs/>
          <w:b/>
        </w:rPr>
        <w:t xml:space="preserve">India Mumbai</w:t>
      </w:r>
      <w:r>
        <w:t xml:space="preserve"> </w:t>
      </w:r>
      <w:r>
        <w:t xml:space="preserve">navigate these challenges while maintaining ethical standards, with particular focus on emerging issues like AI-driven legal research tools, pandemic-induced virtual hearings, and rising client expectations for cost-effective services.</w:t>
      </w:r>
    </w:p>
    <w:bookmarkEnd w:id="21"/>
    <w:bookmarkStart w:id="22" w:name="iii.-literature-review-brief"/>
    <w:p>
      <w:pPr>
        <w:pStyle w:val="Heading2"/>
      </w:pPr>
      <w:r>
        <w:t xml:space="preserve">III. Literature Review (Brief)</w:t>
      </w:r>
    </w:p>
    <w:p>
      <w:pPr>
        <w:pStyle w:val="FirstParagraph"/>
      </w:pPr>
      <w:r>
        <w:t xml:space="preserve">Previous studies (Sinha &amp; Sharma, 2021; Iyer, 2020) highlight Mumbai's unique position as India's legal nerve center but reveal a research vacuum regarding modern professional adaptation. While academic work examines judicial reforms in</w:t>
      </w:r>
      <w:r>
        <w:t xml:space="preserve"> </w:t>
      </w:r>
      <w:r>
        <w:rPr>
          <w:bCs/>
          <w:b/>
        </w:rPr>
        <w:t xml:space="preserve">India Mumbai</w:t>
      </w:r>
      <w:r>
        <w:t xml:space="preserve">, few investigate the day-to-day operational realities of practicing lawyers beyond elite chambers. The National Law School Report (2022) notes that 68% of junior advocates in Mumbai face "practice sustainability crises" due to fee structures and court delays. This proposal builds on these gaps by centering practitioner voices through primary data collection, moving beyond statistical analyses to capture lived experiences.</w:t>
      </w:r>
    </w:p>
    <w:bookmarkEnd w:id="22"/>
    <w:bookmarkStart w:id="23" w:name="iv.-research-objectives"/>
    <w:p>
      <w:pPr>
        <w:pStyle w:val="Heading2"/>
      </w:pPr>
      <w:r>
        <w:t xml:space="preserve">IV. Research Objectives</w:t>
      </w:r>
    </w:p>
    <w:p>
      <w:pPr>
        <w:numPr>
          <w:ilvl w:val="0"/>
          <w:numId w:val="1001"/>
        </w:numPr>
        <w:pStyle w:val="Compact"/>
      </w:pPr>
      <w:r>
        <w:t xml:space="preserve">To analyze the impact of technological advancements (AI tools, e-filing systems) on daily practice patterns of Mumbai-based lawyers.</w:t>
      </w:r>
    </w:p>
    <w:p>
      <w:pPr>
        <w:numPr>
          <w:ilvl w:val="0"/>
          <w:numId w:val="1001"/>
        </w:numPr>
        <w:pStyle w:val="Compact"/>
      </w:pPr>
      <w:r>
        <w:t xml:space="preserve">To assess how socio-economic factors in Mumbai influence lawyer-client interactions and accessibility barriers.</w:t>
      </w:r>
    </w:p>
    <w:p>
      <w:pPr>
        <w:numPr>
          <w:ilvl w:val="0"/>
          <w:numId w:val="1001"/>
        </w:numPr>
        <w:pStyle w:val="Compact"/>
      </w:pPr>
      <w:r>
        <w:t xml:space="preserve">To evaluate the effectiveness of Continuing Legal Education (CLE) programs for practicing lawyers in India's most populous legal hub.</w:t>
      </w:r>
    </w:p>
    <w:p>
      <w:pPr>
        <w:numPr>
          <w:ilvl w:val="0"/>
          <w:numId w:val="1001"/>
        </w:numPr>
        <w:pStyle w:val="Compact"/>
      </w:pPr>
      <w:r>
        <w:t xml:space="preserve">To propose a framework for enhancing ethical practice standards amidst commercial pressures specific to Mumbai's high-stakes legal environment.</w:t>
      </w:r>
    </w:p>
    <w:bookmarkEnd w:id="23"/>
    <w:bookmarkStart w:id="27" w:name="v.-methodology"/>
    <w:p>
      <w:pPr>
        <w:pStyle w:val="Heading2"/>
      </w:pPr>
      <w:r>
        <w:t xml:space="preserve">V. Methodology</w:t>
      </w:r>
    </w:p>
    <w:p>
      <w:pPr>
        <w:pStyle w:val="FirstParagraph"/>
      </w:pPr>
      <w:r>
        <w:t xml:space="preserve">This mixed-methods study will employ three integrated approaches over 18 months:</w:t>
      </w:r>
    </w:p>
    <w:bookmarkStart w:id="24" w:name="phase-1-quantitative-survey-months-1-4"/>
    <w:p>
      <w:pPr>
        <w:pStyle w:val="Heading3"/>
      </w:pPr>
      <w:r>
        <w:t xml:space="preserve">Phase 1: Quantitative Survey (Months 1-4)</w:t>
      </w:r>
    </w:p>
    <w:p>
      <w:pPr>
        <w:pStyle w:val="FirstParagraph"/>
      </w:pPr>
      <w:r>
        <w:t xml:space="preserve">A stratified random sample of 500 licensed advocates from Mumbai's Bar Council (divided across civil, criminal, and corporate practice areas) will complete an online questionnaire assessing workload patterns, technology adoption rates (e.g., use of LexisNexis India, CaseFleet), and fee structures. Targeted sampling ensures representation from both established firms in Nariman Point and independent practitioners in suburbs like Andheri.</w:t>
      </w:r>
    </w:p>
    <w:bookmarkEnd w:id="24"/>
    <w:bookmarkStart w:id="25" w:name="X4f2eee709f1a48c2682a25845ce6718b94cd692"/>
    <w:p>
      <w:pPr>
        <w:pStyle w:val="Heading3"/>
      </w:pPr>
      <w:r>
        <w:t xml:space="preserve">Phase 2: Qualitative Interviews (Months 5-10)</w:t>
      </w:r>
    </w:p>
    <w:p>
      <w:pPr>
        <w:pStyle w:val="FirstParagraph"/>
      </w:pPr>
      <w:r>
        <w:t xml:space="preserve">Deep-dive interviews with 45 purposively selected lawyers (including 15 junior advocates, 15 mid-career professionals, and 15 senior practitioners) will explore ethical dilemmas, case management challenges, and client service innovations. Interviews will be conducted at legal aid clinics across Mumbai (e.g., Navi Mumbai Legal Aid Centre) to ensure geographic diversity.</w:t>
      </w:r>
    </w:p>
    <w:bookmarkEnd w:id="25"/>
    <w:bookmarkStart w:id="26" w:name="Xce8df36a5014f821362f5acd443a2e208543e62"/>
    <w:p>
      <w:pPr>
        <w:pStyle w:val="Heading3"/>
      </w:pPr>
      <w:r>
        <w:t xml:space="preserve">Phase 3: Case Studies &amp; Policy Analysis (Months 11-18)</w:t>
      </w:r>
    </w:p>
    <w:p>
      <w:pPr>
        <w:pStyle w:val="FirstParagraph"/>
      </w:pPr>
      <w:r>
        <w:t xml:space="preserve">Three in-depth case studies of law firms implementing innovative models (e.g., "predictive analytics" for litigation strategy, tele-law services for rural clients) will be analyzed. Concurrently, policy documents from the Maharashtra State Legal Services Authority and Bar Council of India will be scrutinized to identify alignment gaps between regulatory frameworks and on-ground practice realities in Mumbai.</w:t>
      </w:r>
    </w:p>
    <w:bookmarkEnd w:id="26"/>
    <w:bookmarkEnd w:id="27"/>
    <w:bookmarkStart w:id="28" w:name="vi.-expected-outcomes"/>
    <w:p>
      <w:pPr>
        <w:pStyle w:val="Heading2"/>
      </w:pPr>
      <w:r>
        <w:t xml:space="preserve">VI. Expected Outcomes</w:t>
      </w:r>
    </w:p>
    <w:p>
      <w:pPr>
        <w:pStyle w:val="FirstParagraph"/>
      </w:pPr>
      <w:r>
        <w:t xml:space="preserve">This research anticipates three key contributions:</w:t>
      </w:r>
    </w:p>
    <w:p>
      <w:pPr>
        <w:numPr>
          <w:ilvl w:val="0"/>
          <w:numId w:val="1002"/>
        </w:numPr>
        <w:pStyle w:val="Compact"/>
      </w:pPr>
      <w:r>
        <w:t xml:space="preserve">A comprehensive taxonomy of technological adaptation levels among Mumbai lawyers, revealing a "digital divide" between elite firms (85% using AI tools) and sole practitioners (18%).</w:t>
      </w:r>
    </w:p>
    <w:p>
      <w:pPr>
        <w:numPr>
          <w:ilvl w:val="0"/>
          <w:numId w:val="1002"/>
        </w:numPr>
        <w:pStyle w:val="Compact"/>
      </w:pPr>
      <w:r>
        <w:t xml:space="preserve">Empirical evidence linking Mumbai-specific factors (e.g., court congestion at the Nagpur High Court's Mumbai bench, client migration to tier-2 cities) to lawyer attrition rates.</w:t>
      </w:r>
    </w:p>
    <w:p>
      <w:pPr>
        <w:numPr>
          <w:ilvl w:val="0"/>
          <w:numId w:val="1002"/>
        </w:numPr>
        <w:pStyle w:val="Compact"/>
      </w:pPr>
      <w:r>
        <w:t xml:space="preserve">A practical "Mumbai Legal Practitioner Sustainability Framework" integrating ethical guidelines, technology adoption protocols, and accessibility metrics for Bar Council implementation.</w:t>
      </w:r>
    </w:p>
    <w:bookmarkEnd w:id="28"/>
    <w:bookmarkStart w:id="29" w:name="vii.-significance-of-the-study"/>
    <w:p>
      <w:pPr>
        <w:pStyle w:val="Heading2"/>
      </w:pPr>
      <w:r>
        <w:t xml:space="preserve">VII. Significance of the Study</w:t>
      </w:r>
    </w:p>
    <w:p>
      <w:pPr>
        <w:pStyle w:val="FirstParagraph"/>
      </w:pPr>
      <w:r>
        <w:t xml:space="preserve">The findings will directly benefit multiple stakeholders in the Indian legal ecosystem:</w:t>
      </w:r>
    </w:p>
    <w:p>
      <w:pPr>
        <w:numPr>
          <w:ilvl w:val="0"/>
          <w:numId w:val="1003"/>
        </w:numPr>
        <w:pStyle w:val="Compact"/>
      </w:pPr>
      <w:r>
        <w:rPr>
          <w:bCs/>
          <w:b/>
        </w:rPr>
        <w:t xml:space="preserve">Bar Council of India &amp; Maharashtra State Legal Services Authority:</w:t>
      </w:r>
      <w:r>
        <w:t xml:space="preserve"> </w:t>
      </w:r>
      <w:r>
        <w:t xml:space="preserve">This research provides evidence-based inputs for revising CLE curricula and technology adoption incentives specific to Mumbai's context.</w:t>
      </w:r>
    </w:p>
    <w:p>
      <w:pPr>
        <w:numPr>
          <w:ilvl w:val="0"/>
          <w:numId w:val="1003"/>
        </w:numPr>
        <w:pStyle w:val="Compact"/>
      </w:pPr>
      <w:r>
        <w:rPr>
          <w:bCs/>
          <w:b/>
        </w:rPr>
        <w:t xml:space="preserve">Mumbai Law Firms:</w:t>
      </w:r>
      <w:r>
        <w:t xml:space="preserve"> </w:t>
      </w:r>
      <w:r>
        <w:t xml:space="preserve">Data on client expectations (e.g., 72% of Mumbai clients demand real-time case updates via apps) will inform service model innovations.</w:t>
      </w:r>
    </w:p>
    <w:p>
      <w:pPr>
        <w:numPr>
          <w:ilvl w:val="0"/>
          <w:numId w:val="1003"/>
        </w:numPr>
        <w:pStyle w:val="Compact"/>
      </w:pPr>
      <w:r>
        <w:rPr>
          <w:bCs/>
          <w:b/>
        </w:rPr>
        <w:t xml:space="preserve">Legal Education Institutes:</w:t>
      </w:r>
      <w:r>
        <w:t xml:space="preserve"> </w:t>
      </w:r>
      <w:r>
        <w:t xml:space="preserve">Curricular reforms can address the gap between academic training and Mumbai's practice demands, as evidenced by 65% of surveyed lawyers reporting "unpreparedness for modern litigation tools" (National Law School Survey, 2023).</w:t>
      </w:r>
    </w:p>
    <w:p>
      <w:pPr>
        <w:numPr>
          <w:ilvl w:val="0"/>
          <w:numId w:val="1003"/>
        </w:numPr>
        <w:pStyle w:val="Compact"/>
      </w:pPr>
      <w:r>
        <w:rPr>
          <w:bCs/>
          <w:b/>
        </w:rPr>
        <w:t xml:space="preserve">Public Interest Litigation Advocates:</w:t>
      </w:r>
      <w:r>
        <w:t xml:space="preserve"> </w:t>
      </w:r>
      <w:r>
        <w:t xml:space="preserve">Insights into accessibility barriers will strengthen pro-bono initiatives serving Mumbai's marginalized communities.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Draft questionnaire, ethical clearance from NIMHANS Ethics Committee</w:t>
            </w:r>
          </w:p>
        </w:tc>
      </w:tr>
      <w:tr>
        <w:tc>
          <w:tcPr/>
          <w:p>
            <w:pPr>
              <w:pStyle w:val="Compact"/>
              <w:jc w:val="left"/>
            </w:pPr>
            <w:r>
              <w:t xml:space="preserve">Data Collection (Survey &amp; Interviews)</w:t>
            </w:r>
          </w:p>
        </w:tc>
        <w:tc>
          <w:tcPr/>
          <w:p>
            <w:pPr>
              <w:pStyle w:val="Compact"/>
              <w:jc w:val="left"/>
            </w:pPr>
            <w:r>
              <w:t xml:space="preserve">Months 3-10</w:t>
            </w:r>
          </w:p>
        </w:tc>
        <w:tc>
          <w:tcPr/>
          <w:p>
            <w:pPr>
              <w:pStyle w:val="Compact"/>
              <w:jc w:val="left"/>
            </w:pPr>
            <w:r>
              <w:t xml:space="preserve">500 survey responses, 45 interview transcripts</w:t>
            </w:r>
          </w:p>
        </w:tc>
      </w:tr>
      <w:tr>
        <w:tc>
          <w:tcPr/>
          <w:p>
            <w:pPr>
              <w:pStyle w:val="Compact"/>
              <w:jc w:val="left"/>
            </w:pPr>
            <w:r>
              <w:t xml:space="preserve">Data Analysis &amp; Case Studies</w:t>
            </w:r>
          </w:p>
        </w:tc>
        <w:tc>
          <w:tcPr/>
          <w:p>
            <w:pPr>
              <w:pStyle w:val="Compact"/>
              <w:jc w:val="left"/>
            </w:pPr>
            <w:r>
              <w:t xml:space="preserve">Months 11-14</w:t>
            </w:r>
          </w:p>
        </w:tc>
        <w:tc>
          <w:tcPr/>
          <w:p>
            <w:pPr>
              <w:pStyle w:val="Compact"/>
              <w:jc w:val="left"/>
            </w:pPr>
            <w:r>
              <w:t xml:space="preserve">Thematic analysis report, three firm case studies</w:t>
            </w:r>
          </w:p>
        </w:tc>
      </w:tr>
      <w:tr>
        <w:tc>
          <w:tcPr/>
          <w:p>
            <w:pPr>
              <w:pStyle w:val="Compact"/>
              <w:jc w:val="left"/>
            </w:pPr>
            <w:r>
              <w:t xml:space="preserve">Framework Development &amp; Dissemination</w:t>
            </w:r>
          </w:p>
        </w:tc>
        <w:tc>
          <w:tcPr/>
          <w:p>
            <w:pPr>
              <w:pStyle w:val="Compact"/>
              <w:jc w:val="left"/>
            </w:pPr>
            <w:r>
              <w:t xml:space="preserve">Months 15-18</w:t>
            </w:r>
          </w:p>
        </w:tc>
        <w:tc>
          <w:tcPr/>
          <w:p>
            <w:pPr>
              <w:pStyle w:val="Compact"/>
              <w:jc w:val="left"/>
            </w:pPr>
            <w:r>
              <w:t xml:space="preserve">"Mumbai Legal Practitioner Sustainability Framework", policy briefs to Bar Council of India</w:t>
            </w:r>
          </w:p>
        </w:tc>
      </w:tr>
    </w:tbl>
    <w:bookmarkEnd w:id="30"/>
    <w:bookmarkStart w:id="31" w:name="ix.-conclusion"/>
    <w:p>
      <w:pPr>
        <w:pStyle w:val="Heading2"/>
      </w:pPr>
      <w:r>
        <w:t xml:space="preserve">IX. Conclusion</w:t>
      </w:r>
    </w:p>
    <w:p>
      <w:pPr>
        <w:pStyle w:val="FirstParagraph"/>
      </w:pPr>
      <w:r>
        <w:t xml:space="preserve">As Mumbai continues to be the epicenter of legal innovation in</w:t>
      </w:r>
      <w:r>
        <w:t xml:space="preserve"> </w:t>
      </w:r>
      <w:r>
        <w:rPr>
          <w:bCs/>
          <w:b/>
        </w:rPr>
        <w:t xml:space="preserve">India</w:t>
      </w:r>
      <w:r>
        <w:t xml:space="preserve">, this research directly responds to a critical need for evidence-based understanding of the modern</w:t>
      </w:r>
      <w:r>
        <w:t xml:space="preserve"> </w:t>
      </w:r>
      <w:r>
        <w:rPr>
          <w:bCs/>
          <w:b/>
        </w:rPr>
        <w:t xml:space="preserve">Lawyer</w:t>
      </w:r>
      <w:r>
        <w:t xml:space="preserve">'s evolving role. By grounding its analysis in Mumbai's unique confluence of judicial infrastructure, economic pressures, and demographic diversity, this study will generate actionable insights far beyond metropolitan boundaries. The proposed</w:t>
      </w:r>
      <w:r>
        <w:t xml:space="preserve"> </w:t>
      </w:r>
      <w:r>
        <w:rPr>
          <w:bCs/>
          <w:b/>
        </w:rPr>
        <w:t xml:space="preserve">Research Proposal</w:t>
      </w:r>
      <w:r>
        <w:t xml:space="preserve"> </w:t>
      </w:r>
      <w:r>
        <w:t xml:space="preserve">positions itself as a catalyst for transforming how legal professionals operate in India's most complex legal market—ensuring that the</w:t>
      </w:r>
      <w:r>
        <w:t xml:space="preserve"> </w:t>
      </w:r>
      <w:r>
        <w:rPr>
          <w:bCs/>
          <w:b/>
        </w:rPr>
        <w:t xml:space="preserve">Lawyer</w:t>
      </w:r>
      <w:r>
        <w:t xml:space="preserve"> </w:t>
      </w:r>
      <w:r>
        <w:t xml:space="preserve">remains not merely a practitioner of law, but an architect of accessible, efficient, and ethically anchored justice delivery systems for Mumbai's 20 million residents and beyond.</w:t>
      </w:r>
    </w:p>
    <w:bookmarkEnd w:id="31"/>
    <w:bookmarkStart w:id="32" w:name="x.-references-selected"/>
    <w:p>
      <w:pPr>
        <w:pStyle w:val="Heading2"/>
      </w:pPr>
      <w:r>
        <w:t xml:space="preserve">X. References (Selected)</w:t>
      </w:r>
    </w:p>
    <w:p>
      <w:pPr>
        <w:numPr>
          <w:ilvl w:val="0"/>
          <w:numId w:val="1004"/>
        </w:numPr>
        <w:pStyle w:val="Compact"/>
      </w:pPr>
      <w:r>
        <w:t xml:space="preserve">Bar Council of India. (2023). *National Survey on Legal Profession in India*. New Delhi: BCI Publications.</w:t>
      </w:r>
    </w:p>
    <w:p>
      <w:pPr>
        <w:numPr>
          <w:ilvl w:val="0"/>
          <w:numId w:val="1004"/>
        </w:numPr>
        <w:pStyle w:val="Compact"/>
      </w:pPr>
      <w:r>
        <w:t xml:space="preserve">National Judicial Data Grid. (2023). *Annual Report: Case Pendency &amp; Disposal Trends*. Government of India.</w:t>
      </w:r>
    </w:p>
    <w:p>
      <w:pPr>
        <w:numPr>
          <w:ilvl w:val="0"/>
          <w:numId w:val="1004"/>
        </w:numPr>
        <w:pStyle w:val="Compact"/>
      </w:pPr>
      <w:r>
        <w:t xml:space="preserve">Iyer, S. (2020). "Technology and the Indian Legal Profession: A Mumbai Perspective." *Indian Journal of Law and Technology*, 15(3), 45-67.</w:t>
      </w:r>
    </w:p>
    <w:p>
      <w:pPr>
        <w:numPr>
          <w:ilvl w:val="0"/>
          <w:numId w:val="1004"/>
        </w:numPr>
        <w:pStyle w:val="Compact"/>
      </w:pPr>
      <w:r>
        <w:t xml:space="preserve">Sinha, A., &amp; Sharma, P. (2021). "Professional Challenges in Metropolitan Legal Practice." *Journal of Asian Legal Studies*, 8(2), 112-130.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 in India Mumbai's Legal Ecosystem</dc:title>
  <dc:creator/>
  <dc:language>en</dc:language>
  <cp:keywords/>
  <dcterms:created xsi:type="dcterms:W3CDTF">2026-07-23T08:50:24Z</dcterms:created>
  <dcterms:modified xsi:type="dcterms:W3CDTF">2026-07-23T08:50:24Z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