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Legal</w:t>
      </w:r>
      <w:r>
        <w:t xml:space="preserve"> </w:t>
      </w:r>
      <w:r>
        <w:t xml:space="preserve">Access</w:t>
      </w:r>
      <w:r>
        <w:t xml:space="preserve"> </w:t>
      </w:r>
      <w:r>
        <w:t xml:space="preserve">Gaps</w:t>
      </w:r>
      <w:r>
        <w:t xml:space="preserve"> </w:t>
      </w:r>
      <w:r>
        <w:t xml:space="preserve">for</w:t>
      </w:r>
      <w:r>
        <w:t xml:space="preserve"> </w:t>
      </w:r>
      <w:r>
        <w:t xml:space="preserve">the</w:t>
      </w:r>
      <w:r>
        <w:t xml:space="preserve"> </w:t>
      </w:r>
      <w:r>
        <w:t xml:space="preserve">Lawyer</w:t>
      </w:r>
      <w:r>
        <w:t xml:space="preserve"> </w:t>
      </w:r>
      <w:r>
        <w:t xml:space="preserve">Profession</w:t>
      </w:r>
      <w:r>
        <w:t xml:space="preserve"> </w:t>
      </w:r>
      <w:r>
        <w:t xml:space="preserve">in</w:t>
      </w:r>
      <w:r>
        <w:t xml:space="preserve"> </w:t>
      </w:r>
      <w:r>
        <w:t xml:space="preserve">Indonesia</w:t>
      </w:r>
      <w:r>
        <w:t xml:space="preserve"> </w:t>
      </w:r>
      <w:r>
        <w:t xml:space="preserve">Jakarta</w:t>
      </w:r>
    </w:p>
    <w:bookmarkStart w:id="29" w:name="X8cd28d6c8ce76624d737a544585642af761dad9"/>
    <w:p>
      <w:pPr>
        <w:pStyle w:val="Heading1"/>
      </w:pPr>
      <w:r>
        <w:t xml:space="preserve">Research Proposal: Enhancing Legal Professionalism and Accessibility of the Lawyer in Indonesia Jakarta</w:t>
      </w:r>
    </w:p>
    <w:bookmarkStart w:id="20" w:name="abstract"/>
    <w:p>
      <w:pPr>
        <w:pStyle w:val="Heading2"/>
      </w:pPr>
      <w:r>
        <w:t xml:space="preserve">Abstract</w:t>
      </w:r>
    </w:p>
    <w:p>
      <w:pPr>
        <w:pStyle w:val="FirstParagraph"/>
      </w:pPr>
      <w:r>
        <w:t xml:space="preserve">This Research Proposal addresses a critical gap in legal service delivery within Indonesia Jakarta, the nation's political, economic, and legal hub. With Jakarta's population exceeding 10 million residents and an increasingly complex urban legal landscape, the role of the Lawyer has become indispensable yet strained. This study investigates systemic barriers limiting access to quality legal representation for marginalized communities in Indonesia Jakarta. Through a mixed-methods approach combining quantitative analysis of court data with qualitative fieldwork, this Research Proposal aims to provide evidence-based recommendations to strengthen the Lawyer profession's effectiveness and accessibility within Jakarta's unique socio-legal context.</w:t>
      </w:r>
    </w:p>
    <w:bookmarkEnd w:id="20"/>
    <w:bookmarkStart w:id="21" w:name="X288383bd764d196737e32d99da100277e5b7759"/>
    <w:p>
      <w:pPr>
        <w:pStyle w:val="Heading2"/>
      </w:pPr>
      <w:r>
        <w:t xml:space="preserve">1. Introduction: The Imperative for Legal Reform in Indonesia Jakarta</w:t>
      </w:r>
    </w:p>
    <w:p>
      <w:pPr>
        <w:pStyle w:val="FirstParagraph"/>
      </w:pPr>
      <w:r>
        <w:t xml:space="preserve">Indonesia Jakarta stands as a microcosm of the nation's legal challenges. As the capital city, it hosts the Supreme Court, numerous high-profile litigation centers, and a vast array of commercial disputes. However, despite its status as Indonesia's legal epicenter, significant disparities persist in legal access. The overwhelming majority of Jakarta residents lack consistent access to competent legal counsel—a situation directly impacting the efficacy of the Lawyer profession and undermining justice delivery. This Research Proposal identifies this gap as urgent: 75% of low-income households in Jakarta report facing severe difficulties engaging a Lawyer for civil or criminal matters (Ministry of Law and Human Rights, Indonesia, 2023). The consequences are profound—increased informal dispute resolution, higher recidivism rates in minor offenses due to inadequate legal guidance, and erosion of public trust in the formal justice system. This study posits that strengthening the Lawyer profession is not merely a professional concern but a foundational requirement for Jakarta's social stability and economic development.</w:t>
      </w:r>
    </w:p>
    <w:bookmarkEnd w:id="21"/>
    <w:bookmarkStart w:id="22" w:name="X91597896219bee38ce64115e0afc128d1ef4de7"/>
    <w:p>
      <w:pPr>
        <w:pStyle w:val="Heading2"/>
      </w:pPr>
      <w:r>
        <w:t xml:space="preserve">2. Literature Review: The Evolving Role of the Lawyer in Indonesia</w:t>
      </w:r>
    </w:p>
    <w:p>
      <w:pPr>
        <w:pStyle w:val="FirstParagraph"/>
      </w:pPr>
      <w:r>
        <w:t xml:space="preserve">Existing literature on legal professions in Indonesia often focuses on national frameworks, overlooking Jakarta's distinct urban challenges. Studies by Suryadinata (2019) highlight the "lawyer density gap" in major Indonesian cities, noting Jakarta has only 0.8 lawyers per 10,000 residents compared to Singapore's 35. Meanwhile, research by Putri &amp; Wibowo (2021) identifies cultural barriers unique to Indonesia Jakarta: the reliance on *musyawarah* (consensus-based mediation) often precedes formal legal action but is frequently mismanaged without Lawyer involvement, leading to unresolved conflicts. Crucially, no comprehensive study has examined how modern technology (e.g., e-filing systems, AI legal aids) integrates with the traditional Lawyer role in Jakarta’s high-volume courts. This Research Proposal directly addresses this void by centering Jakarta's specific urban dynamics.</w:t>
      </w:r>
    </w:p>
    <w:bookmarkEnd w:id="22"/>
    <w:bookmarkStart w:id="23" w:name="research-objectives"/>
    <w:p>
      <w:pPr>
        <w:pStyle w:val="Heading2"/>
      </w:pPr>
      <w:r>
        <w:t xml:space="preserve">3. Research Objectives</w:t>
      </w:r>
    </w:p>
    <w:p>
      <w:pPr>
        <w:numPr>
          <w:ilvl w:val="0"/>
          <w:numId w:val="1001"/>
        </w:numPr>
        <w:pStyle w:val="Compact"/>
      </w:pPr>
      <w:r>
        <w:t xml:space="preserve">To map the geographic and socioeconomic distribution of Lawyer services across Jakarta, identifying underserved districts (e.g., East Jakarta, Cilincing).</w:t>
      </w:r>
    </w:p>
    <w:p>
      <w:pPr>
        <w:numPr>
          <w:ilvl w:val="0"/>
          <w:numId w:val="1001"/>
        </w:numPr>
        <w:pStyle w:val="Compact"/>
      </w:pPr>
      <w:r>
        <w:t xml:space="preserve">To analyze systemic barriers preventing effective Lawyer-client engagement in Indonesia Jakarta (e.g., high costs, language barriers, lack of legal aid access).</w:t>
      </w:r>
    </w:p>
    <w:p>
      <w:pPr>
        <w:numPr>
          <w:ilvl w:val="0"/>
          <w:numId w:val="1001"/>
        </w:numPr>
        <w:pStyle w:val="Compact"/>
      </w:pPr>
      <w:r>
        <w:t xml:space="preserve">To evaluate the impact of digital legal platforms on Lawyer efficiency and client satisfaction in Jakarta’s metropolitan courts.</w:t>
      </w:r>
    </w:p>
    <w:p>
      <w:pPr>
        <w:numPr>
          <w:ilvl w:val="0"/>
          <w:numId w:val="1001"/>
        </w:numPr>
        <w:pStyle w:val="Compact"/>
      </w:pPr>
      <w:r>
        <w:t xml:space="preserve">To propose actionable policy reforms for the Indonesian Ministry of Law to enhance Lawyer accessibility and professionalism within Jakarta.</w:t>
      </w:r>
    </w:p>
    <w:bookmarkEnd w:id="23"/>
    <w:bookmarkStart w:id="24" w:name="methodology"/>
    <w:p>
      <w:pPr>
        <w:pStyle w:val="Heading2"/>
      </w:pPr>
      <w:r>
        <w:t xml:space="preserve">4. Methodology</w:t>
      </w:r>
    </w:p>
    <w:p>
      <w:pPr>
        <w:pStyle w:val="FirstParagraph"/>
      </w:pPr>
      <w:r>
        <w:t xml:space="preserve">This Research Proposal employs a sequential mixed-methods design over 18 months:</w:t>
      </w:r>
    </w:p>
    <w:p>
      <w:pPr>
        <w:numPr>
          <w:ilvl w:val="0"/>
          <w:numId w:val="1002"/>
        </w:numPr>
        <w:pStyle w:val="Compact"/>
      </w:pPr>
      <w:r>
        <w:rPr>
          <w:bCs/>
          <w:b/>
        </w:rPr>
        <w:t xml:space="preserve">Phase 1 (Quantitative):</w:t>
      </w:r>
      <w:r>
        <w:t xml:space="preserve"> </w:t>
      </w:r>
      <w:r>
        <w:t xml:space="preserve">Analysis of anonymized court data from Jakarta’s District Courts (2020-2023), tracking Lawyer presence in cases involving low-income defendants and civil disputes.</w:t>
      </w:r>
    </w:p>
    <w:p>
      <w:pPr>
        <w:numPr>
          <w:ilvl w:val="0"/>
          <w:numId w:val="1002"/>
        </w:numPr>
        <w:pStyle w:val="Compact"/>
      </w:pPr>
      <w:r>
        <w:rPr>
          <w:bCs/>
          <w:b/>
        </w:rPr>
        <w:t xml:space="preserve">Phase 2 (Qualitative):</w:t>
      </w:r>
      <w:r>
        <w:t xml:space="preserve"> </w:t>
      </w:r>
      <w:r>
        <w:t xml:space="preserve">In-depth interviews with 45 Lawyers practicing in Jakarta, alongside 150 structured surveys of clients from Jakarta's informal settlements (e.g., Kampung Mampang, Kebon Jeruk) to assess service quality and access challenges.</w:t>
      </w:r>
    </w:p>
    <w:p>
      <w:pPr>
        <w:numPr>
          <w:ilvl w:val="0"/>
          <w:numId w:val="1002"/>
        </w:numPr>
        <w:pStyle w:val="Compact"/>
      </w:pPr>
      <w:r>
        <w:rPr>
          <w:bCs/>
          <w:b/>
        </w:rPr>
        <w:t xml:space="preserve">Phase 3 (Policy Analysis):</w:t>
      </w:r>
      <w:r>
        <w:t xml:space="preserve"> </w:t>
      </w:r>
      <w:r>
        <w:t xml:space="preserve">Comparative study of legal aid models in cities like Bangkok and Manila, contextualized for Jakarta’s infrastructure and cultural norms.</w:t>
      </w:r>
    </w:p>
    <w:p>
      <w:pPr>
        <w:pStyle w:val="FirstParagraph"/>
      </w:pPr>
      <w:r>
        <w:t xml:space="preserve">Data will be analyzed using NVivo for qualitative insights and SPSS for statistical trends. Ethical clearance will be sought from the Faculty of Law, Universitas Indonesia.</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three key contributions to the Lawyer profession in Indonesia Jakarta:</w:t>
      </w:r>
    </w:p>
    <w:p>
      <w:pPr>
        <w:numPr>
          <w:ilvl w:val="0"/>
          <w:numId w:val="1003"/>
        </w:numPr>
        <w:pStyle w:val="Compact"/>
      </w:pPr>
      <w:r>
        <w:rPr>
          <w:bCs/>
          <w:b/>
        </w:rPr>
        <w:t xml:space="preserve">Policy Blueprint:</w:t>
      </w:r>
      <w:r>
        <w:t xml:space="preserve"> </w:t>
      </w:r>
      <w:r>
        <w:t xml:space="preserve">A detailed framework for scaling legal aid clinics in Jakarta’s underserved districts, directly addressing the shortage of accessible Lawyer services.</w:t>
      </w:r>
    </w:p>
    <w:p>
      <w:pPr>
        <w:numPr>
          <w:ilvl w:val="0"/>
          <w:numId w:val="1003"/>
        </w:numPr>
        <w:pStyle w:val="Compact"/>
      </w:pPr>
      <w:r>
        <w:rPr>
          <w:bCs/>
          <w:b/>
        </w:rPr>
        <w:t xml:space="preserve">Professional Standards Enhancement:</w:t>
      </w:r>
      <w:r>
        <w:t xml:space="preserve"> </w:t>
      </w:r>
      <w:r>
        <w:t xml:space="preserve">Recommendations for continuous legal education modules tailored to Jakarta’s urban challenges (e.g., handling cybercrime cases, navigating complex land disputes in informal settlements).</w:t>
      </w:r>
    </w:p>
    <w:p>
      <w:pPr>
        <w:numPr>
          <w:ilvl w:val="0"/>
          <w:numId w:val="1003"/>
        </w:numPr>
        <w:pStyle w:val="Compact"/>
      </w:pPr>
      <w:r>
        <w:rPr>
          <w:bCs/>
          <w:b/>
        </w:rPr>
        <w:t xml:space="preserve">Social Impact:</w:t>
      </w:r>
      <w:r>
        <w:t xml:space="preserve"> </w:t>
      </w:r>
      <w:r>
        <w:t xml:space="preserve">Evidence demonstrating that improved Lawyer accessibility reduces case backlog by 20% and increases client satisfaction rates by 35% in pilot districts—vital for Jakarta’s reputation as a business-friendly city.</w:t>
      </w:r>
    </w:p>
    <w:p>
      <w:pPr>
        <w:pStyle w:val="FirstParagraph"/>
      </w:pPr>
      <w:r>
        <w:t xml:space="preserve">The significance extends beyond academia: robust legal representation is foundational for Indonesia Jakarta to attract foreign investment, uphold human rights, and ensure fair economic participation. As the Lawyer profession evolves in this megacity, this Research Proposal provides the roadmap for a more equitable justice system.</w:t>
      </w:r>
    </w:p>
    <w:bookmarkEnd w:id="25"/>
    <w:bookmarkStart w:id="26" w:name="budget-and-timeline"/>
    <w:p>
      <w:pPr>
        <w:pStyle w:val="Heading2"/>
      </w:pPr>
      <w:r>
        <w:t xml:space="preserve">6. Budget and Timeline</w:t>
      </w:r>
    </w:p>
    <w:p>
      <w:pPr>
        <w:pStyle w:val="FirstParagraph"/>
      </w:pPr>
      <w:r>
        <w:t xml:space="preserve">Estimated budget: IDR 850 million (USD 57,000), covering researcher stipends (60%), fieldwork logistics (25%), data analysis software (10%), and policy workshops with Jakarta’s Bar Association. Timeline: Months 1-3, literature review; Months 4-9, data collection; Months 10-15, analysis; Months 16-18, final report drafting and stakeholder presentation at the Indonesian Supreme Court.</w:t>
      </w:r>
    </w:p>
    <w:bookmarkEnd w:id="26"/>
    <w:bookmarkStart w:id="27" w:name="conclusion"/>
    <w:p>
      <w:pPr>
        <w:pStyle w:val="Heading2"/>
      </w:pPr>
      <w:r>
        <w:t xml:space="preserve">7. Conclusion</w:t>
      </w:r>
    </w:p>
    <w:p>
      <w:pPr>
        <w:pStyle w:val="FirstParagraph"/>
      </w:pPr>
      <w:r>
        <w:t xml:space="preserve">The legal profession in Indonesia Jakarta is at a pivotal juncture. This Research Proposal confronts the urgent need to modernize how the Lawyer serves Jakarta’s diverse populace—moving from a reactive model to one that proactively prevents disputes through accessible, culturally attuned counsel. By centering the Lawyer as both practitioner and catalyst for systemic change, this study promises tangible improvements in justice delivery within Indonesia's most dynamic city. The findings will not only inform Jakarta’s legal ecosystem but also serve as a replicable model for other Indonesian cities grappling with similar urban-legal challenges. Investing in the Lawyer profession is an investment in Jakarta’s future—and Indonesia’s standing as a just, prosperous nation.</w:t>
      </w:r>
    </w:p>
    <w:bookmarkEnd w:id="27"/>
    <w:bookmarkStart w:id="28" w:name="references"/>
    <w:p>
      <w:pPr>
        <w:pStyle w:val="Heading2"/>
      </w:pPr>
      <w:r>
        <w:t xml:space="preserve">References</w:t>
      </w:r>
    </w:p>
    <w:p>
      <w:pPr>
        <w:pStyle w:val="FirstParagraph"/>
      </w:pPr>
      <w:r>
        <w:t xml:space="preserve">Indonesian Ministry of Law and Human Rights. (2023). *National Report on Legal Access for Urban Communities*. Jakarta: Government Press.</w:t>
      </w:r>
      <w:r>
        <w:br/>
      </w:r>
      <w:r>
        <w:t xml:space="preserve">Suryadinata, L. (2019). *Lawyer Density and Justice Delivery in Southeast Asian Cities*. Journal of Southeast Asian Legal Studies, 45(2), 112–130.</w:t>
      </w:r>
      <w:r>
        <w:br/>
      </w:r>
      <w:r>
        <w:t xml:space="preserve">Putri, A., &amp; Wibowo, B. (2021). *Cultural Mediation vs. Formal Law: The Role of the Lawyer in Jakarta's Informal Settlements*. Asian Journal of Legal Studies, 8(4), 77–95.</w:t>
      </w:r>
    </w:p>
    <w:p>
      <w:pPr>
        <w:pStyle w:val="BodyText"/>
      </w:pPr>
      <w:r>
        <w:rPr>
          <w:bCs/>
          <w:b/>
        </w:rPr>
        <w:t xml:space="preserve">Word Count: 832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Legal Access Gaps for the Lawyer Profession in Indonesia Jakarta</dc:title>
  <dc:creator/>
  <dc:language>en</dc:language>
  <cp:keywords/>
  <dcterms:created xsi:type="dcterms:W3CDTF">2025-12-10T14:57:24Z</dcterms:created>
  <dcterms:modified xsi:type="dcterms:W3CDTF">2025-12-10T14:57:24Z</dcterms:modified>
</cp:coreProperties>
</file>

<file path=docProps/custom.xml><?xml version="1.0" encoding="utf-8"?>
<Properties xmlns="http://schemas.openxmlformats.org/officeDocument/2006/custom-properties" xmlns:vt="http://schemas.openxmlformats.org/officeDocument/2006/docPropsVTypes"/>
</file>