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Iran</w:t>
      </w:r>
      <w:r>
        <w:t xml:space="preserve"> </w:t>
      </w:r>
      <w:r>
        <w:t xml:space="preserve">Tehran</w:t>
      </w:r>
    </w:p>
    <w:bookmarkStart w:id="27" w:name="X83528a2cea5f9378bbd98786c6c9b58a6f09289"/>
    <w:p>
      <w:pPr>
        <w:pStyle w:val="Heading1"/>
      </w:pPr>
      <w:r>
        <w:t xml:space="preserve">Research Proposal: The Evolving Role of the Lawyer in Iran Tehran Amidst Legal System Transformations</w:t>
      </w:r>
    </w:p>
    <w:p>
      <w:pPr>
        <w:pStyle w:val="FirstParagraph"/>
      </w:pPr>
      <w:r>
        <w:rPr>
          <w:bCs/>
          <w:b/>
        </w:rPr>
        <w:t xml:space="preserve">Abstract:</w:t>
      </w:r>
      <w:r>
        <w:t xml:space="preserve"> </w:t>
      </w:r>
      <w:r>
        <w:t xml:space="preserve">This</w:t>
      </w:r>
      <w:r>
        <w:t xml:space="preserve"> </w:t>
      </w:r>
      <w:r>
        <w:rPr>
          <w:iCs/>
          <w:i/>
        </w:rPr>
        <w:t xml:space="preserve">Research Proposal</w:t>
      </w:r>
      <w:r>
        <w:t xml:space="preserve"> </w:t>
      </w:r>
      <w:r>
        <w:t xml:space="preserve">investigates the contemporary professional landscape, challenges, and ethical responsibilities of the</w:t>
      </w:r>
      <w:r>
        <w:t xml:space="preserve"> </w:t>
      </w:r>
      <w:r>
        <w:rPr>
          <w:iCs/>
          <w:i/>
        </w:rPr>
        <w:t xml:space="preserve">Lawyer</w:t>
      </w:r>
      <w:r>
        <w:t xml:space="preserve"> </w:t>
      </w:r>
      <w:r>
        <w:t xml:space="preserve">within the legal framework of</w:t>
      </w:r>
      <w:r>
        <w:t xml:space="preserve"> </w:t>
      </w:r>
      <w:r>
        <w:rPr>
          <w:iCs/>
          <w:i/>
        </w:rPr>
        <w:t xml:space="preserve">Iran Tehran</w:t>
      </w:r>
      <w:r>
        <w:t xml:space="preserve">. Focusing on Tehran as Iran's judicial, legislative, and commercial epicenter, this study addresses critical gaps in understanding how Iranian legal practitioners navigate a complex dual system (Sharia law and civil code), shifting socio-political dynamics, and international engagement. The proposed research aims to provide actionable insights for legal education reform, professional development standards, and policy recommendations to strengthen the rule of law within</w:t>
      </w:r>
      <w:r>
        <w:t xml:space="preserve"> </w:t>
      </w:r>
      <w:r>
        <w:rPr>
          <w:iCs/>
          <w:i/>
        </w:rPr>
        <w:t xml:space="preserve">Iran Tehran</w:t>
      </w:r>
      <w:r>
        <w:t xml:space="preserve">. With over 20,000 registered lawyers operating primarily in Tehran's courts and institutions (Iranian Bar Association, 2023), this study is urgently needed to document the profession's resilience and identify systemic constraints impacting justice delivery.</w:t>
      </w:r>
    </w:p>
    <w:bookmarkStart w:id="20" w:name="X2771e6890bd05cb692ff3be8670cddcf5758d4f"/>
    <w:p>
      <w:pPr>
        <w:pStyle w:val="Heading2"/>
      </w:pPr>
      <w:r>
        <w:t xml:space="preserve">1. Introduction: The Lawyer as a Pillar of Justice in Iran Tehran</w:t>
      </w:r>
    </w:p>
    <w:p>
      <w:pPr>
        <w:pStyle w:val="FirstParagraph"/>
      </w:pPr>
      <w:r>
        <w:t xml:space="preserve">The legal profession in</w:t>
      </w:r>
      <w:r>
        <w:t xml:space="preserve"> </w:t>
      </w:r>
      <w:r>
        <w:rPr>
          <w:iCs/>
          <w:i/>
        </w:rPr>
        <w:t xml:space="preserve">Iran Tehran</w:t>
      </w:r>
      <w:r>
        <w:t xml:space="preserve"> </w:t>
      </w:r>
      <w:r>
        <w:t xml:space="preserve">holds profound significance as the bedrock of civic order and access to justice within the Islamic Republic's framework. As the capital city housing all major courts (Supreme Court, Revolutionary Courts), the Ministry of Justice, Parliament (Majlis), and over 50% of Iran's licensed legal practitioners, Tehran is where national legal policy converges with daily practice. The role of the</w:t>
      </w:r>
      <w:r>
        <w:t xml:space="preserve"> </w:t>
      </w:r>
      <w:r>
        <w:rPr>
          <w:iCs/>
          <w:i/>
        </w:rPr>
        <w:t xml:space="preserve">Lawyer</w:t>
      </w:r>
      <w:r>
        <w:t xml:space="preserve"> </w:t>
      </w:r>
      <w:r>
        <w:t xml:space="preserve">here extends beyond traditional advocacy; it encompasses navigating religious jurisprudence (Fiqh), statutory law, and evolving economic regulations within a system undergoing incremental modernization. This Research Proposal directly addresses the critical need to analyze how the</w:t>
      </w:r>
      <w:r>
        <w:t xml:space="preserve"> </w:t>
      </w:r>
      <w:r>
        <w:rPr>
          <w:iCs/>
          <w:i/>
        </w:rPr>
        <w:t xml:space="preserve">Lawyer</w:t>
      </w:r>
      <w:r>
        <w:t xml:space="preserve"> </w:t>
      </w:r>
      <w:r>
        <w:t xml:space="preserve">in</w:t>
      </w:r>
      <w:r>
        <w:t xml:space="preserve"> </w:t>
      </w:r>
      <w:r>
        <w:rPr>
          <w:iCs/>
          <w:i/>
        </w:rPr>
        <w:t xml:space="preserve">Iran Tehran</w:t>
      </w:r>
      <w:r>
        <w:t xml:space="preserve"> </w:t>
      </w:r>
      <w:r>
        <w:t xml:space="preserve">adapts to pressures including judicial independence challenges, client accessibility issues in marginalized communities, and balancing ethical obligations with state directives. Understanding this dynamic is vital for Iran's aspiration towards a more transparent and efficient legal system.</w:t>
      </w:r>
    </w:p>
    <w:bookmarkEnd w:id="20"/>
    <w:bookmarkStart w:id="21" w:name="X0973528b75e7e5650caad5227c8d6fa1078a8fc"/>
    <w:p>
      <w:pPr>
        <w:pStyle w:val="Heading2"/>
      </w:pPr>
      <w:r>
        <w:t xml:space="preserve">2. Literature Review: Gaps in Understanding the Lawyer Profession in Tehran</w:t>
      </w:r>
    </w:p>
    <w:p>
      <w:pPr>
        <w:pStyle w:val="FirstParagraph"/>
      </w:pPr>
      <w:r>
        <w:t xml:space="preserve">Existing scholarship on Iranian law predominantly focuses on constitutional theory, human rights frameworks, or specific court rulings (e.g., Sadeghi, 2018; Saeedi, 2020). However, a significant gap persists regarding the</w:t>
      </w:r>
      <w:r>
        <w:t xml:space="preserve"> </w:t>
      </w:r>
      <w:r>
        <w:rPr>
          <w:iCs/>
          <w:i/>
        </w:rPr>
        <w:t xml:space="preserve">on-the-ground experience of the Lawyer</w:t>
      </w:r>
      <w:r>
        <w:t xml:space="preserve"> </w:t>
      </w:r>
      <w:r>
        <w:t xml:space="preserve">in Tehran's multifaceted legal ecosystem. Prior studies overlook:</w:t>
      </w:r>
    </w:p>
    <w:p>
      <w:pPr>
        <w:numPr>
          <w:ilvl w:val="0"/>
          <w:numId w:val="1001"/>
        </w:numPr>
        <w:pStyle w:val="Compact"/>
      </w:pPr>
      <w:r>
        <w:t xml:space="preserve">The daily operational realities of lawyers handling civil disputes within Tehran's bustling commercial courts versus criminal cases in Revolutionary Courts.</w:t>
      </w:r>
    </w:p>
    <w:p>
      <w:pPr>
        <w:numPr>
          <w:ilvl w:val="0"/>
          <w:numId w:val="1001"/>
        </w:numPr>
        <w:pStyle w:val="Compact"/>
      </w:pPr>
      <w:r>
        <w:t xml:space="preserve">The impact of recent judicial reforms (e.g., 2019 Civil Procedure Code amendments) on lawyer-client relationships and case management in Tehran.</w:t>
      </w:r>
    </w:p>
    <w:p>
      <w:pPr>
        <w:numPr>
          <w:ilvl w:val="0"/>
          <w:numId w:val="1001"/>
        </w:numPr>
        <w:pStyle w:val="Compact"/>
      </w:pPr>
      <w:r>
        <w:t xml:space="preserve">How technology adoption (e.g., electronic court filing systems) is reshaping practice patterns for the Lawyer in Iran's largest legal hub.</w:t>
      </w:r>
    </w:p>
    <w:p>
      <w:pPr>
        <w:pStyle w:val="FirstParagraph"/>
      </w:pPr>
      <w:r>
        <w:t xml:space="preserve">This study directly bridges these gaps by centering the perspective of practicing lawyers within Tehran, moving beyond theoretical analysis to capture their lived professional context.</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defines three core objectives for the Lawyer-focused investigation in</w:t>
      </w:r>
      <w:r>
        <w:t xml:space="preserve"> </w:t>
      </w:r>
      <w:r>
        <w:rPr>
          <w:iCs/>
          <w:i/>
        </w:rPr>
        <w:t xml:space="preserve">Iran Tehran</w:t>
      </w:r>
      <w:r>
        <w:t xml:space="preserve">:</w:t>
      </w:r>
    </w:p>
    <w:p>
      <w:pPr>
        <w:numPr>
          <w:ilvl w:val="0"/>
          <w:numId w:val="1002"/>
        </w:numPr>
        <w:pStyle w:val="Compact"/>
      </w:pPr>
      <w:r>
        <w:t xml:space="preserve">To map the primary professional challenges faced by lawyers practicing within Tehran's judicial districts, including ethical dilemmas, procedural inefficiencies, and client trust issues.</w:t>
      </w:r>
    </w:p>
    <w:p>
      <w:pPr>
        <w:numPr>
          <w:ilvl w:val="0"/>
          <w:numId w:val="1002"/>
        </w:numPr>
        <w:pStyle w:val="Compact"/>
      </w:pPr>
      <w:r>
        <w:t xml:space="preserve">To analyze how the Lawyer in Tehran adapts legal arguments and strategies to reconcile Islamic jurisprudence with civil law requirements across key practice areas (commercial, family, criminal).</w:t>
      </w:r>
    </w:p>
    <w:p>
      <w:pPr>
        <w:numPr>
          <w:ilvl w:val="0"/>
          <w:numId w:val="1002"/>
        </w:numPr>
        <w:pStyle w:val="Compact"/>
      </w:pPr>
      <w:r>
        <w:t xml:space="preserve">To assess the effectiveness of current professional development programs (administered by Iran's Bar Association) in equipping lawyers for contemporary demands within Tehran's evolving legal market.</w:t>
      </w:r>
    </w:p>
    <w:bookmarkEnd w:id="22"/>
    <w:bookmarkStart w:id="23" w:name="X5659b5176e81ec53b1d76edae6093c39601cf21"/>
    <w:p>
      <w:pPr>
        <w:pStyle w:val="Heading2"/>
      </w:pPr>
      <w:r>
        <w:t xml:space="preserve">4. Methodology: Grounded Research in Iran Tehran</w:t>
      </w:r>
    </w:p>
    <w:p>
      <w:pPr>
        <w:pStyle w:val="FirstParagraph"/>
      </w:pPr>
      <w:r>
        <w:t xml:space="preserve">This mixed-methods study will be conducted entirely within</w:t>
      </w:r>
      <w:r>
        <w:t xml:space="preserve"> </w:t>
      </w:r>
      <w:r>
        <w:rPr>
          <w:iCs/>
          <w:i/>
        </w:rPr>
        <w:t xml:space="preserve">Iran Tehran</w:t>
      </w:r>
      <w:r>
        <w:t xml:space="preserve">, utilizing both qualitative and quantitative approaches to ensure rich, contextually grounded data:</w:t>
      </w:r>
    </w:p>
    <w:p>
      <w:pPr>
        <w:numPr>
          <w:ilvl w:val="0"/>
          <w:numId w:val="1003"/>
        </w:numPr>
        <w:pStyle w:val="Compact"/>
      </w:pPr>
      <w:r>
        <w:rPr>
          <w:bCs/>
          <w:b/>
        </w:rPr>
        <w:t xml:space="preserve">Qualitative Component (Phase 1):</w:t>
      </w:r>
      <w:r>
        <w:t xml:space="preserve"> </w:t>
      </w:r>
      <w:r>
        <w:t xml:space="preserve">Semi-structured interviews with 40 licensed lawyers from diverse Tehran judicial districts (commercial court, family court, criminal courts), selected using purposive sampling to ensure representation across gender, practice duration (5-25 years), and specialization. Focus groups with legal trainees at Tehran University Faculty of Law will supplement insights on professional expectations.</w:t>
      </w:r>
    </w:p>
    <w:p>
      <w:pPr>
        <w:numPr>
          <w:ilvl w:val="0"/>
          <w:numId w:val="1003"/>
        </w:numPr>
        <w:pStyle w:val="Compact"/>
      </w:pPr>
      <w:r>
        <w:rPr>
          <w:bCs/>
          <w:b/>
        </w:rPr>
        <w:t xml:space="preserve">Quantitative Component (Phase 2):</w:t>
      </w:r>
      <w:r>
        <w:t xml:space="preserve"> </w:t>
      </w:r>
      <w:r>
        <w:t xml:space="preserve">Structured surveys distributed via the Tehran Bar Association to 300+ practicing lawyers, measuring metrics like case backlog rates, client satisfaction scores, perceived ethical pressures, and technology utilization. Data will be triangulated with court performance reports (Tehran Judicial Office).</w:t>
      </w:r>
    </w:p>
    <w:p>
      <w:pPr>
        <w:numPr>
          <w:ilvl w:val="0"/>
          <w:numId w:val="1003"/>
        </w:numPr>
        <w:pStyle w:val="Compact"/>
      </w:pPr>
      <w:r>
        <w:rPr>
          <w:bCs/>
          <w:b/>
        </w:rPr>
        <w:t xml:space="preserve">Data Analysis:</w:t>
      </w:r>
      <w:r>
        <w:t xml:space="preserve"> </w:t>
      </w:r>
      <w:r>
        <w:t xml:space="preserve">Thematic analysis of interviews using NVivo software; statistical analysis of surveys via SPSS. All fieldwork will comply strictly with Iranian ethical research protocols approved by Tehran University's Institutional Review Board.</w:t>
      </w:r>
    </w:p>
    <w:bookmarkEnd w:id="23"/>
    <w:bookmarkStart w:id="24" w:name="X69ecf91969414fa9fdaddda8a9dbb3629756092"/>
    <w:p>
      <w:pPr>
        <w:pStyle w:val="Heading2"/>
      </w:pPr>
      <w:r>
        <w:t xml:space="preserve">5. Expected Outcomes and Significance for Iran Tehran</w:t>
      </w:r>
    </w:p>
    <w:p>
      <w:pPr>
        <w:pStyle w:val="FirstParagraph"/>
      </w:pPr>
      <w:r>
        <w:t xml:space="preserve">The anticipated outcomes of this</w:t>
      </w:r>
      <w:r>
        <w:t xml:space="preserve"> </w:t>
      </w:r>
      <w:r>
        <w:rPr>
          <w:iCs/>
          <w:i/>
        </w:rPr>
        <w:t xml:space="preserve">Research Proposal</w:t>
      </w:r>
      <w:r>
        <w:t xml:space="preserve"> </w:t>
      </w:r>
      <w:r>
        <w:t xml:space="preserve">hold direct relevance for strengthening the legal profession in</w:t>
      </w:r>
      <w:r>
        <w:t xml:space="preserve"> </w:t>
      </w:r>
      <w:r>
        <w:rPr>
          <w:iCs/>
          <w:i/>
        </w:rPr>
        <w:t xml:space="preserve">Iran Tehran</w:t>
      </w:r>
      <w:r>
        <w:t xml:space="preserve">:</w:t>
      </w:r>
    </w:p>
    <w:p>
      <w:pPr>
        <w:numPr>
          <w:ilvl w:val="0"/>
          <w:numId w:val="1004"/>
        </w:numPr>
        <w:pStyle w:val="Compact"/>
      </w:pPr>
      <w:r>
        <w:rPr>
          <w:bCs/>
          <w:b/>
        </w:rPr>
        <w:t xml:space="preserve">Actionable Policy Briefs:</w:t>
      </w:r>
      <w:r>
        <w:t xml:space="preserve"> </w:t>
      </w:r>
      <w:r>
        <w:t xml:space="preserve">Evidence-based recommendations will be provided to the Ministry of Justice and Tehran Bar Association on reforming lawyer licensing, ethics training modules, and court procedural efficiency – directly targeting barriers impacting the Lawyer's effectiveness in Tehran.</w:t>
      </w:r>
    </w:p>
    <w:p>
      <w:pPr>
        <w:numPr>
          <w:ilvl w:val="0"/>
          <w:numId w:val="1004"/>
        </w:numPr>
        <w:pStyle w:val="Compact"/>
      </w:pPr>
      <w:r>
        <w:rPr>
          <w:bCs/>
          <w:b/>
        </w:rPr>
        <w:t xml:space="preserve">Professional Development Framework:</w:t>
      </w:r>
      <w:r>
        <w:t xml:space="preserve"> </w:t>
      </w:r>
      <w:r>
        <w:t xml:space="preserve">A tailored curriculum outline for continuing legal education (CLE) focusing on practical skills needed by the Lawyer navigating Iran’s unique legal environment, prioritizing Tehran’s specific market demands.</w:t>
      </w:r>
    </w:p>
    <w:p>
      <w:pPr>
        <w:numPr>
          <w:ilvl w:val="0"/>
          <w:numId w:val="1004"/>
        </w:numPr>
        <w:pStyle w:val="Compact"/>
      </w:pPr>
      <w:r>
        <w:rPr>
          <w:bCs/>
          <w:b/>
        </w:rPr>
        <w:t xml:space="preserve">Enhanced Public Trust:</w:t>
      </w:r>
      <w:r>
        <w:t xml:space="preserve"> </w:t>
      </w:r>
      <w:r>
        <w:t xml:space="preserve">By documenting lawyer experiences and client perceptions within Tehran, the study will contribute to public discourse on justice accessibility, potentially improving community confidence in legal institutions – a critical factor for social stability in Iran's most populous city.</w:t>
      </w:r>
    </w:p>
    <w:bookmarkEnd w:id="24"/>
    <w:bookmarkStart w:id="25" w:name="timeline-and-resources"/>
    <w:p>
      <w:pPr>
        <w:pStyle w:val="Heading2"/>
      </w:pPr>
      <w:r>
        <w:t xml:space="preserve">6. Timeline and Resources</w:t>
      </w:r>
    </w:p>
    <w:p>
      <w:pPr>
        <w:pStyle w:val="FirstParagraph"/>
      </w:pPr>
      <w:r>
        <w:t xml:space="preserve">The proposed research will span 18 months:</w:t>
      </w:r>
    </w:p>
    <w:p>
      <w:pPr>
        <w:numPr>
          <w:ilvl w:val="0"/>
          <w:numId w:val="1005"/>
        </w:numPr>
        <w:pStyle w:val="Compact"/>
      </w:pPr>
      <w:r>
        <w:rPr>
          <w:iCs/>
          <w:i/>
        </w:rPr>
        <w:t xml:space="preserve">Months 1-3:</w:t>
      </w:r>
      <w:r>
        <w:t xml:space="preserve"> </w:t>
      </w:r>
      <w:r>
        <w:t xml:space="preserve">Finalize ethical approvals, recruit participants, develop interview guides/surveys (Tehran-based field team).</w:t>
      </w:r>
    </w:p>
    <w:p>
      <w:pPr>
        <w:numPr>
          <w:ilvl w:val="0"/>
          <w:numId w:val="1005"/>
        </w:numPr>
        <w:pStyle w:val="Compact"/>
      </w:pPr>
      <w:r>
        <w:rPr>
          <w:iCs/>
          <w:i/>
        </w:rPr>
        <w:t xml:space="preserve">Months 4-9:</w:t>
      </w:r>
      <w:r>
        <w:t xml:space="preserve"> </w:t>
      </w:r>
      <w:r>
        <w:t xml:space="preserve">Conduct interviews and distribute surveys across Tehran's legal districts.</w:t>
      </w:r>
    </w:p>
    <w:p>
      <w:pPr>
        <w:numPr>
          <w:ilvl w:val="0"/>
          <w:numId w:val="1005"/>
        </w:numPr>
        <w:pStyle w:val="Compact"/>
      </w:pPr>
      <w:r>
        <w:rPr>
          <w:iCs/>
          <w:i/>
        </w:rPr>
        <w:t xml:space="preserve">Months 10-15:</w:t>
      </w:r>
      <w:r>
        <w:t xml:space="preserve"> </w:t>
      </w:r>
      <w:r>
        <w:t xml:space="preserve">Data analysis, drafting findings, and stakeholder validation workshops with Tehran Bar Association members.</w:t>
      </w:r>
    </w:p>
    <w:p>
      <w:pPr>
        <w:numPr>
          <w:ilvl w:val="0"/>
          <w:numId w:val="1005"/>
        </w:numPr>
        <w:pStyle w:val="Compact"/>
      </w:pPr>
      <w:r>
        <w:rPr>
          <w:iCs/>
          <w:i/>
        </w:rPr>
        <w:t xml:space="preserve">Months 16-18:</w:t>
      </w:r>
      <w:r>
        <w:t xml:space="preserve"> </w:t>
      </w:r>
      <w:r>
        <w:t xml:space="preserve">Final report writing, policy brief preparation, and dissemination plan for Tehran legal community stakeholders.</w:t>
      </w:r>
    </w:p>
    <w:bookmarkEnd w:id="25"/>
    <w:bookmarkStart w:id="26" w:name="X3669f859228a5c56638e13a1e1cb555fa5c6cd7"/>
    <w:p>
      <w:pPr>
        <w:pStyle w:val="Heading2"/>
      </w:pPr>
      <w:r>
        <w:t xml:space="preserve">7. Conclusion: The Lawyer's Critical Role in Iran Tehran's Future</w:t>
      </w:r>
    </w:p>
    <w:p>
      <w:pPr>
        <w:pStyle w:val="FirstParagraph"/>
      </w:pPr>
      <w:r>
        <w:t xml:space="preserve">This</w:t>
      </w:r>
      <w:r>
        <w:t xml:space="preserve"> </w:t>
      </w:r>
      <w:r>
        <w:rPr>
          <w:iCs/>
          <w:i/>
        </w:rPr>
        <w:t xml:space="preserve">Research Proposal</w:t>
      </w:r>
      <w:r>
        <w:t xml:space="preserve"> </w:t>
      </w:r>
      <w:r>
        <w:t xml:space="preserve">underscores the indispensable role of the</w:t>
      </w:r>
      <w:r>
        <w:t xml:space="preserve"> </w:t>
      </w:r>
      <w:r>
        <w:rPr>
          <w:iCs/>
          <w:i/>
        </w:rPr>
        <w:t xml:space="preserve">Lawyer</w:t>
      </w:r>
      <w:r>
        <w:t xml:space="preserve"> </w:t>
      </w:r>
      <w:r>
        <w:t xml:space="preserve">as a catalyst for legal progress within</w:t>
      </w:r>
      <w:r>
        <w:t xml:space="preserve"> </w:t>
      </w:r>
      <w:r>
        <w:rPr>
          <w:iCs/>
          <w:i/>
        </w:rPr>
        <w:t xml:space="preserve">Iran Tehran</w:t>
      </w:r>
      <w:r>
        <w:t xml:space="preserve">. As Iran navigates complex domestic reforms and international engagement, a robust, ethical, and well-equipped legal profession is non-negotiable. The proposed study moves beyond abstract analysis to provide concrete insights into how the Lawyer operates at the heart of Tehran's justice system. By centering this investigation on the practical realities faced by legal practitioners within Iran's capital city – where policy meets practice daily – this research directly addresses a critical need for evidence-based reform. The findings will empower policymakers, bar associations, and future lawyers to build a more responsive, effective, and trusted legal framework essential for sustainable development in</w:t>
      </w:r>
      <w:r>
        <w:t xml:space="preserve"> </w:t>
      </w:r>
      <w:r>
        <w:rPr>
          <w:iCs/>
          <w:i/>
        </w:rPr>
        <w:t xml:space="preserve">Iran Tehran</w:t>
      </w:r>
      <w:r>
        <w:t xml:space="preserve"> </w:t>
      </w:r>
      <w:r>
        <w:t xml:space="preserve">and beyond.</w:t>
      </w:r>
    </w:p>
    <w:p>
      <w:pPr>
        <w:pStyle w:val="BodyText"/>
      </w:pPr>
      <w:r>
        <w:rPr>
          <w:bCs/>
          <w:b/>
        </w:rPr>
        <w:t xml:space="preserve">Keywords:</w:t>
      </w:r>
      <w:r>
        <w:t xml:space="preserve"> </w:t>
      </w:r>
      <w:r>
        <w:t xml:space="preserve">Research Proposal; Lawyer; Iran Tehran; Legal Profession; Judicial System; Iran Law Reform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Iran Tehran</dc:title>
  <dc:creator/>
  <dc:language>en</dc:language>
  <cp:keywords/>
  <dcterms:created xsi:type="dcterms:W3CDTF">2026-07-20T08:47:48Z</dcterms:created>
  <dcterms:modified xsi:type="dcterms:W3CDTF">2026-07-20T08:47:48Z</dcterms:modified>
</cp:coreProperties>
</file>

<file path=docProps/custom.xml><?xml version="1.0" encoding="utf-8"?>
<Properties xmlns="http://schemas.openxmlformats.org/officeDocument/2006/custom-properties" xmlns:vt="http://schemas.openxmlformats.org/officeDocument/2006/docPropsVTypes"/>
</file>