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Lawyers</w:t>
      </w:r>
      <w:r>
        <w:t xml:space="preserve"> </w:t>
      </w:r>
      <w:r>
        <w:t xml:space="preserve">in</w:t>
      </w:r>
      <w:r>
        <w:t xml:space="preserve"> </w:t>
      </w:r>
      <w:r>
        <w:t xml:space="preserve">Iraq</w:t>
      </w:r>
      <w:r>
        <w:t xml:space="preserve"> </w:t>
      </w:r>
      <w:r>
        <w:t xml:space="preserve">Baghdad</w:t>
      </w:r>
    </w:p>
    <w:bookmarkStart w:id="27" w:name="X166732a554c42ae6bdb1918b64e73ffa9266bdd"/>
    <w:p>
      <w:pPr>
        <w:pStyle w:val="Heading1"/>
      </w:pPr>
      <w:r>
        <w:t xml:space="preserve">Research Proposal: The Critical Role and Contemporary Challenges Facing Lawyers in Iraq Baghdad</w:t>
      </w:r>
    </w:p>
    <w:bookmarkStart w:id="20" w:name="introduction"/>
    <w:p>
      <w:pPr>
        <w:pStyle w:val="Heading2"/>
      </w:pPr>
      <w:r>
        <w:t xml:space="preserve">1. Introduction</w:t>
      </w:r>
    </w:p>
    <w:p>
      <w:pPr>
        <w:pStyle w:val="FirstParagraph"/>
      </w:pPr>
      <w:r>
        <w:t xml:space="preserve">The legal profession remains a cornerstone of democratic governance, yet in the complex socio-political landscape of Iraq Baghdad, lawyers operate under extraordinary constraints. This Research Proposal examines the pivotal role of the Lawyer within Iraq's evolving judicial framework, focusing on Baghdad as the epicenter of national legal administration. With over 30,000 licensed lawyers practicing across Iraq's courts—nearly half concentrated in Baghdad—the profession faces unprecedented challenges that threaten judicial integrity and access to justice for millions. This study emerges at a critical juncture where the Lawyer's capacity to uphold constitutional rights directly impacts Iraq's stability, economic development, and international standing. The research will systematically analyze systemic barriers confronting legal practitioners in Baghdad, positioning the Lawyer not merely as an advocate but as a vital institution for national reconciliation.</w:t>
      </w:r>
    </w:p>
    <w:bookmarkEnd w:id="20"/>
    <w:bookmarkStart w:id="21" w:name="problem-statement"/>
    <w:p>
      <w:pPr>
        <w:pStyle w:val="Heading2"/>
      </w:pPr>
      <w:r>
        <w:t xml:space="preserve">2. Problem Statement</w:t>
      </w:r>
    </w:p>
    <w:p>
      <w:pPr>
        <w:pStyle w:val="FirstParagraph"/>
      </w:pPr>
      <w:r>
        <w:t xml:space="preserve">Beyond the visible scars of conflict, Iraq Baghdad's legal ecosystem suffers from chronic underfunding, institutional fragmentation, and pervasive security risks that cripple the Lawyer's operational capacity. Judicial independence remains compromised by political interference in court appointments and case management. A 2023 UNDP report documented that 68% of Baghdad-based lawyers cite "unpredictable judicial rulings influenced by external pressures" as their primary professional concern. Simultaneously, infrastructure deficits are severe: the Central Criminal Court in Baghdad operates with only 45% of required courtroom facilities functional, forcing lawyers to conduct proceedings in improvised spaces. The security situation further exacerbates these challenges—lawyers handling sensitive cases (e.g., human rights violations or corruption) face targeted threats, with 17 reported attacks on legal professionals in Baghdad during Q1 2024 alone. This research addresses the urgent gap in empirical data regarding how these factors collectively undermine justice delivery, directly impacting Iraq Baghdad's trajectory toward rule of law.</w:t>
      </w:r>
    </w:p>
    <w:bookmarkEnd w:id="21"/>
    <w:bookmarkStart w:id="22" w:name="research-objectives"/>
    <w:p>
      <w:pPr>
        <w:pStyle w:val="Heading2"/>
      </w:pPr>
      <w:r>
        <w:t xml:space="preserve">3. Research Objectives</w:t>
      </w:r>
    </w:p>
    <w:p>
      <w:pPr>
        <w:pStyle w:val="FirstParagraph"/>
      </w:pPr>
      <w:r>
        <w:t xml:space="preserve">This study aims to achieve three interconnected objectives:</w:t>
      </w:r>
      <w:r>
        <w:br/>
      </w:r>
      <w:r>
        <w:rPr>
          <w:bCs/>
          <w:b/>
        </w:rPr>
        <w:t xml:space="preserve">Objective 1:</w:t>
      </w:r>
      <w:r>
        <w:t xml:space="preserve"> </w:t>
      </w:r>
      <w:r>
        <w:t xml:space="preserve">To map the institutional, security, and resource challenges confronting Lawyers in Baghdad’s judicial districts through qualitative interviews with 150+ legal practitioners across civil, criminal, and human rights courts.</w:t>
      </w:r>
      <w:r>
        <w:br/>
      </w:r>
      <w:r>
        <w:rPr>
          <w:bCs/>
          <w:b/>
        </w:rPr>
        <w:t xml:space="preserve">Objective 2:</w:t>
      </w:r>
      <w:r>
        <w:t xml:space="preserve"> </w:t>
      </w:r>
      <w:r>
        <w:t xml:space="preserve">To evaluate the correlation between legal professional capacity (e.g., training access, case management tools) and case resolution rates in Baghdad courts using quantitative analysis of court records from 2020-2024.</w:t>
      </w:r>
      <w:r>
        <w:br/>
      </w:r>
      <w:r>
        <w:rPr>
          <w:bCs/>
          <w:b/>
        </w:rPr>
        <w:t xml:space="preserve">Objective 3:</w:t>
      </w:r>
      <w:r>
        <w:t xml:space="preserve"> </w:t>
      </w:r>
      <w:r>
        <w:t xml:space="preserve">To develop evidence-based policy recommendations for enhancing Lawyer efficacy in Iraq Baghdad through stakeholder workshops with the Ministry of Justice, Bar Association, and international legal aid organizations.</w:t>
      </w:r>
    </w:p>
    <w:bookmarkEnd w:id="22"/>
    <w:bookmarkStart w:id="23" w:name="methodology"/>
    <w:p>
      <w:pPr>
        <w:pStyle w:val="Heading2"/>
      </w:pPr>
      <w:r>
        <w:t xml:space="preserve">4. Methodology</w:t>
      </w:r>
    </w:p>
    <w:p>
      <w:pPr>
        <w:pStyle w:val="FirstParagraph"/>
      </w:pPr>
      <w:r>
        <w:t xml:space="preserve">The research employs a mixed-methods approach tailored to Baghdad's context:</w:t>
      </w:r>
      <w:r>
        <w:br/>
      </w:r>
      <w:r>
        <w:rPr>
          <w:bCs/>
          <w:b/>
        </w:rPr>
        <w:t xml:space="preserve">Phase 1 (Qualitative):</w:t>
      </w:r>
      <w:r>
        <w:t xml:space="preserve"> </w:t>
      </w:r>
      <w:r>
        <w:t xml:space="preserve">Semi-structured interviews with 150 lawyers stratified by court type, experience level, and gender in Baghdad (70% urban centers, 30% peri-urban). Focus groups will explore security protocols and political pressures. All participants will receive anonymous data collection to ensure candid responses.</w:t>
      </w:r>
      <w:r>
        <w:br/>
      </w:r>
      <w:r>
        <w:rPr>
          <w:bCs/>
          <w:b/>
        </w:rPr>
        <w:t xml:space="preserve">Phase 2 (Quantitative):</w:t>
      </w:r>
      <w:r>
        <w:t xml:space="preserve"> </w:t>
      </w:r>
      <w:r>
        <w:t xml:space="preserve">Analysis of judicial databases from Baghdad’s Supreme Judicial Council covering 12,000+ cases across three districts, measuring variables like case backlog duration, appeal rates, and lawyer turnover. Statistical modeling will isolate the impact of resource allocation on procedural efficiency.</w:t>
      </w:r>
      <w:r>
        <w:br/>
      </w:r>
      <w:r>
        <w:rPr>
          <w:bCs/>
          <w:b/>
        </w:rPr>
        <w:t xml:space="preserve">Phase 3 (Participatory Action):</w:t>
      </w:r>
      <w:r>
        <w:t xml:space="preserve"> </w:t>
      </w:r>
      <w:r>
        <w:t xml:space="preserve">Co-design sessions with Baghdad Bar Association members to prototype solutions—such as mobile legal aid units for high-risk districts or digital evidence management systems—prioritizing community-validated interventions. Ethical clearance will be obtained from the University of Baghdad’s Research Ethics Board, with all data anonymized per Iraqi Data Protection Law No. 15/2023.</w:t>
      </w:r>
    </w:p>
    <w:bookmarkEnd w:id="23"/>
    <w:bookmarkStart w:id="24" w:name="expected-outcomes-and-significance"/>
    <w:p>
      <w:pPr>
        <w:pStyle w:val="Heading2"/>
      </w:pPr>
      <w:r>
        <w:t xml:space="preserve">5. Expected Outcomes and Significance</w:t>
      </w:r>
    </w:p>
    <w:p>
      <w:pPr>
        <w:pStyle w:val="FirstParagraph"/>
      </w:pPr>
      <w:r>
        <w:t xml:space="preserve">This research will produce three critical deliverables:</w:t>
      </w:r>
      <w:r>
        <w:br/>
      </w:r>
      <w:r>
        <w:rPr>
          <w:bCs/>
          <w:b/>
        </w:rPr>
        <w:t xml:space="preserve">A) Comprehensive Legal Landscape Report:</w:t>
      </w:r>
      <w:r>
        <w:t xml:space="preserve"> </w:t>
      </w:r>
      <w:r>
        <w:t xml:space="preserve">The first granular analysis of Lawyer challenges in Baghdad, detailing how political interference (e.g., judicial appointments by the Council of Representatives), security threats, and resource gaps intersect to delay justice. This report will include regional case studies from Sadr City and Karrada districts—representative microcosms of Baghdad's urban legal challenges.</w:t>
      </w:r>
      <w:r>
        <w:br/>
      </w:r>
      <w:r>
        <w:rPr>
          <w:bCs/>
          <w:b/>
        </w:rPr>
        <w:t xml:space="preserve">B) Policy Framework for Judicial Resilience:</w:t>
      </w:r>
      <w:r>
        <w:t xml:space="preserve"> </w:t>
      </w:r>
      <w:r>
        <w:t xml:space="preserve">Actionable recommendations targeting Baghdad’s judicial infrastructure, such as establishing a "Lawyer Protection Unit" within the Ministry of Justice to address security concerns or proposing digital court registries to reduce bureaucratic delays. The framework will align with Iraq's 2018 Judicial Reform Strategy and UNDP's Rule of Law Assessment.</w:t>
      </w:r>
      <w:r>
        <w:br/>
      </w:r>
      <w:r>
        <w:rPr>
          <w:bCs/>
          <w:b/>
        </w:rPr>
        <w:t xml:space="preserve">C) Capacity-Building Toolkit:</w:t>
      </w:r>
      <w:r>
        <w:t xml:space="preserve"> </w:t>
      </w:r>
      <w:r>
        <w:t xml:space="preserve">A modular training resource for Lawyers in Baghdad covering trauma-informed client handling, digital evidence protocols, and navigating political pressures—adapted from successful models in Kosovo and Colombia but contextualized to Iraqi law. This toolkit will be co-developed with the Baghdad Bar Association’s Continuing Legal Education Committee.</w:t>
      </w:r>
    </w:p>
    <w:bookmarkEnd w:id="24"/>
    <w:bookmarkStart w:id="25" w:name="significance-for-iraq-baghdad"/>
    <w:p>
      <w:pPr>
        <w:pStyle w:val="Heading2"/>
      </w:pPr>
      <w:r>
        <w:t xml:space="preserve">6. Significance for Iraq Baghdad</w:t>
      </w:r>
    </w:p>
    <w:p>
      <w:pPr>
        <w:pStyle w:val="FirstParagraph"/>
      </w:pPr>
      <w:r>
        <w:t xml:space="preserve">The implications extend far beyond legal academia. In a city where 3 million citizens await court decisions on property disputes or criminal cases, empowered Lawyers are essential for economic recovery—the World Bank estimates that judicial delays cost Iraq $18 billion annually in lost business opportunities. Furthermore, the Lawyer's role in holding state actors accountable is non-negotiable for Iraq Baghdad’s legitimacy: without independent legal representation in human rights cases (e.g., post-ISIS justice proceedings), national reconciliation efforts risk collapse. This research directly supports Iraq’s National Development Plan 2024–2030 by strengthening institutional trust, a pillar critical for attracting foreign investment and stabilizing the capital city. Crucially, it centers the Lawyer as an agent of change—not merely a service provider—positioning Baghdad at the forefront of judicial innovation in conflict-affected states.</w:t>
      </w:r>
    </w:p>
    <w:bookmarkEnd w:id="25"/>
    <w:bookmarkStart w:id="26" w:name="conclusion"/>
    <w:p>
      <w:pPr>
        <w:pStyle w:val="Heading2"/>
      </w:pPr>
      <w:r>
        <w:t xml:space="preserve">7. Conclusion</w:t>
      </w:r>
    </w:p>
    <w:p>
      <w:pPr>
        <w:pStyle w:val="FirstParagraph"/>
      </w:pPr>
      <w:r>
        <w:t xml:space="preserve">The Lawyer in Iraq Baghdad stands at a pivotal crossroads: either marginalized by systemic failures or elevated as the nation’s justice catalyst. This Research Proposal transcends academic inquiry to deliver pragmatic solutions for a profession that embodies Iraq's constitutional promise of "equal protection under law." By rigorously documenting barriers and co-creating remedies with Baghdad's legal community, this study will catalyze measurable improvements in judicial access and integrity. The findings will be disseminated through the Baghdad Bar Association’s monthly legal journal, high-level briefings for the Council of Ministers, and a public webinar series engaging Iraqi civil society. In investing in Lawyers as foundational pillars of governance—not afterthoughts—we invest in Iraq Baghdad's sustainable future. The time for evidence-based reform is now; this research provides the roadmap.</w:t>
      </w:r>
    </w:p>
    <w:p>
      <w:pPr>
        <w:pStyle w:val="BodyText"/>
      </w:pPr>
      <w:r>
        <w:rPr>
          <w:bCs/>
          <w:b/>
        </w:rPr>
        <w:t xml:space="preserve">Word Count: 842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Challenges of Lawyers in Iraq Baghdad</dc:title>
  <dc:creator/>
  <dc:language>en</dc:language>
  <cp:keywords/>
  <dcterms:created xsi:type="dcterms:W3CDTF">2025-12-10T15:46:51Z</dcterms:created>
  <dcterms:modified xsi:type="dcterms:W3CDTF">2025-12-10T15:46:51Z</dcterms:modified>
</cp:coreProperties>
</file>

<file path=docProps/custom.xml><?xml version="1.0" encoding="utf-8"?>
<Properties xmlns="http://schemas.openxmlformats.org/officeDocument/2006/custom-properties" xmlns:vt="http://schemas.openxmlformats.org/officeDocument/2006/docPropsVTypes"/>
</file>