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Italy</w:t>
      </w:r>
      <w:r>
        <w:t xml:space="preserve"> </w:t>
      </w:r>
      <w:r>
        <w:t xml:space="preserve">Rome</w:t>
      </w:r>
    </w:p>
    <w:bookmarkStart w:id="28" w:name="X6ae9a33763796763834338f16edf9ccf100f571"/>
    <w:p>
      <w:pPr>
        <w:pStyle w:val="Heading1"/>
      </w:pPr>
      <w:r>
        <w:t xml:space="preserve">Research Proposal: The Evolving Role of the Lawyer in Contemporary Italy Rome</w:t>
      </w:r>
    </w:p>
    <w:bookmarkStart w:id="20" w:name="introduction-and-background"/>
    <w:p>
      <w:pPr>
        <w:pStyle w:val="Heading2"/>
      </w:pPr>
      <w:r>
        <w:t xml:space="preserve">Introduction and Background</w:t>
      </w:r>
    </w:p>
    <w:p>
      <w:pPr>
        <w:pStyle w:val="FirstParagraph"/>
      </w:pPr>
      <w:r>
        <w:t xml:space="preserve">The legal profession in Italy represents a cornerstone of the nation's governance, with Rome serving as its epicenter for judicial administration, legislative development, and professional practice. As the capital city housing supreme courts, ministries of justice, and over 50% of Italy's largest law firms, Rome embodies the dynamic intersection between tradition and modernity within Italian legal culture. This</w:t>
      </w:r>
      <w:r>
        <w:t xml:space="preserve"> </w:t>
      </w:r>
      <w:r>
        <w:rPr>
          <w:bCs/>
          <w:b/>
        </w:rPr>
        <w:t xml:space="preserve">Research Proposal</w:t>
      </w:r>
      <w:r>
        <w:t xml:space="preserve"> </w:t>
      </w:r>
      <w:r>
        <w:t xml:space="preserve">investigates the evolving professional identity of the</w:t>
      </w:r>
      <w:r>
        <w:t xml:space="preserve"> </w:t>
      </w:r>
      <w:r>
        <w:rPr>
          <w:bCs/>
          <w:b/>
        </w:rPr>
        <w:t xml:space="preserve">Lawyer</w:t>
      </w:r>
      <w:r>
        <w:t xml:space="preserve"> </w:t>
      </w:r>
      <w:r>
        <w:t xml:space="preserve">in contemporary</w:t>
      </w:r>
      <w:r>
        <w:t xml:space="preserve"> </w:t>
      </w:r>
      <w:r>
        <w:rPr>
          <w:bCs/>
          <w:b/>
        </w:rPr>
        <w:t xml:space="preserve">Italy Rome</w:t>
      </w:r>
      <w:r>
        <w:t xml:space="preserve">, addressing systemic challenges amplified by technological disruption, European integration, and shifting client expectations. Unlike other European jurisdictions where legal practice has undergone radical transformation, Italy's lawyer profession remains deeply anchored in historical codes while navigating unprecedented pressures to modernize. This study directly responds to a critical gap: no comprehensive analysis has examined how Rome-based practitioners adapt their methodologies amid Italy's unique legal ecosystem.</w:t>
      </w:r>
    </w:p>
    <w:bookmarkEnd w:id="20"/>
    <w:bookmarkStart w:id="21" w:name="problem-statement"/>
    <w:p>
      <w:pPr>
        <w:pStyle w:val="Heading2"/>
      </w:pPr>
      <w:r>
        <w:t xml:space="preserve">Problem Statement</w:t>
      </w:r>
    </w:p>
    <w:p>
      <w:pPr>
        <w:pStyle w:val="FirstParagraph"/>
      </w:pPr>
      <w:r>
        <w:t xml:space="preserve">Rome’s legal landscape faces multifaceted challenges that threaten the efficacy and accessibility of justice. Traditional lawyer-client relationships are strained by rising case backlogs (exceeding 5 million pending cases nationally, with Rome accounting for 18% of this burden), digital literacy gaps among senior practitioners, and evolving EU regulations requiring constant adaptation. Simultaneously, younger lawyers grapple with unsustainable workloads—average weekly hours exceed 50—and declining public trust in legal institutions. Crucially, no empirical research has mapped how these pressures manifest specifically within Rome’s distinct professional environment: a city where historic institutions coexist with fintech startups and international arbitration hubs. This</w:t>
      </w:r>
      <w:r>
        <w:t xml:space="preserve"> </w:t>
      </w:r>
      <w:r>
        <w:rPr>
          <w:bCs/>
          <w:b/>
        </w:rPr>
        <w:t xml:space="preserve">Research Proposal</w:t>
      </w:r>
      <w:r>
        <w:t xml:space="preserve"> </w:t>
      </w:r>
      <w:r>
        <w:t xml:space="preserve">addresses the urgent need to understand whether Rome-based lawyers are merely reacting to change or proactively reshaping their profession.</w:t>
      </w:r>
    </w:p>
    <w:bookmarkEnd w:id="21"/>
    <w:bookmarkStart w:id="22" w:name="research-objectives"/>
    <w:p>
      <w:pPr>
        <w:pStyle w:val="Heading2"/>
      </w:pPr>
      <w:r>
        <w:t xml:space="preserve">Research Objectives</w:t>
      </w:r>
    </w:p>
    <w:p>
      <w:pPr>
        <w:numPr>
          <w:ilvl w:val="0"/>
          <w:numId w:val="1001"/>
        </w:numPr>
        <w:pStyle w:val="Compact"/>
      </w:pPr>
      <w:r>
        <w:t xml:space="preserve">To analyze the impact of digital transformation (AI tools, e-court systems) on daily practice patterns of lawyers in Rome’s civil and criminal courts.</w:t>
      </w:r>
    </w:p>
    <w:p>
      <w:pPr>
        <w:numPr>
          <w:ilvl w:val="0"/>
          <w:numId w:val="1001"/>
        </w:numPr>
        <w:pStyle w:val="Compact"/>
      </w:pPr>
      <w:r>
        <w:t xml:space="preserve">To evaluate how European Union legal harmonization affects specialized practice areas (e.g., data privacy, cross-border commerce) among Rome-based law firms.</w:t>
      </w:r>
    </w:p>
    <w:p>
      <w:pPr>
        <w:numPr>
          <w:ilvl w:val="0"/>
          <w:numId w:val="1001"/>
        </w:numPr>
        <w:pStyle w:val="Compact"/>
      </w:pPr>
      <w:r>
        <w:t xml:space="preserve">To assess the socio-professional barriers preventing equitable access to legal services for marginalized communities in Rome.</w:t>
      </w:r>
    </w:p>
    <w:p>
      <w:pPr>
        <w:numPr>
          <w:ilvl w:val="0"/>
          <w:numId w:val="1001"/>
        </w:numPr>
        <w:pStyle w:val="Compact"/>
      </w:pPr>
      <w:r>
        <w:t xml:space="preserve">To develop a framework for modernizing lawyer training curricula at Italian institutions like Sapienza University of Rome, incorporating Rome’s unique case studies.</w:t>
      </w:r>
    </w:p>
    <w:bookmarkEnd w:id="22"/>
    <w:bookmarkStart w:id="23" w:name="literature-review"/>
    <w:p>
      <w:pPr>
        <w:pStyle w:val="Heading2"/>
      </w:pPr>
      <w:r>
        <w:t xml:space="preserve">Literature Review</w:t>
      </w:r>
    </w:p>
    <w:p>
      <w:pPr>
        <w:pStyle w:val="FirstParagraph"/>
      </w:pPr>
      <w:r>
        <w:t xml:space="preserve">Existing scholarship focuses narrowly on either comparative EU legal systems or Italy’s institutional structure, neglecting Rome's microcosm. While studies by Prof. Francesca Rossi (University of Florence) examine national trends in judicial delays, they omit Rome-specific variables like its dual role as both national capital and regional hub for Lazio’s 10 million residents. Similarly, EU-funded projects on digital justice (e.g., "LegalTech Italia") prioritize infrastructure over human factors—ignoring how lawyers’ adoption of AI tools is influenced by Rome’s conservative professional culture. This</w:t>
      </w:r>
      <w:r>
        <w:t xml:space="preserve"> </w:t>
      </w:r>
      <w:r>
        <w:rPr>
          <w:bCs/>
          <w:b/>
        </w:rPr>
        <w:t xml:space="preserve">Research Proposal</w:t>
      </w:r>
      <w:r>
        <w:t xml:space="preserve"> </w:t>
      </w:r>
      <w:r>
        <w:t xml:space="preserve">bridges this gap by centering on Rome: the city where Italy’s Constitutional Court operates, where 30% of EU law cases are filed, and where generational divides in legal practice are most pronounced.</w:t>
      </w:r>
    </w:p>
    <w:bookmarkEnd w:id="23"/>
    <w:bookmarkStart w:id="24" w:name="methodology"/>
    <w:p>
      <w:pPr>
        <w:pStyle w:val="Heading2"/>
      </w:pPr>
      <w:r>
        <w:t xml:space="preserve">Methodology</w:t>
      </w:r>
    </w:p>
    <w:p>
      <w:pPr>
        <w:pStyle w:val="FirstParagraph"/>
      </w:pPr>
      <w:r>
        <w:t xml:space="preserve">This mixed-methods study employs triangulation across three phases:</w:t>
      </w:r>
    </w:p>
    <w:p>
      <w:pPr>
        <w:numPr>
          <w:ilvl w:val="0"/>
          <w:numId w:val="1002"/>
        </w:numPr>
        <w:pStyle w:val="Compact"/>
      </w:pPr>
      <w:r>
        <w:rPr>
          <w:bCs/>
          <w:b/>
        </w:rPr>
        <w:t xml:space="preserve">Phase 1 (Quantitative):</w:t>
      </w:r>
      <w:r>
        <w:t xml:space="preserve"> </w:t>
      </w:r>
      <w:r>
        <w:t xml:space="preserve">Survey of 450 Rome-registered lawyers via the Bar Association of Rome (Ordine degli Avvocati di Roma), measuring technology adoption rates, case load metrics, and demographic variables. Statistical analysis will identify correlations between firm size and adaptive practices.</w:t>
      </w:r>
    </w:p>
    <w:p>
      <w:pPr>
        <w:numPr>
          <w:ilvl w:val="0"/>
          <w:numId w:val="1002"/>
        </w:numPr>
        <w:pStyle w:val="Compact"/>
      </w:pPr>
      <w:r>
        <w:rPr>
          <w:bCs/>
          <w:b/>
        </w:rPr>
        <w:t xml:space="preserve">Phase 2 (Qualitative):</w:t>
      </w:r>
      <w:r>
        <w:t xml:space="preserve"> </w:t>
      </w:r>
      <w:r>
        <w:t xml:space="preserve">In-depth interviews with 30 practitioners—including senior judges from the Court of Rome, junior associates at multinational firms (e.g., Studio Legale BonelliErede), and public defenders—to explore lived experiences. Field notes will be analyzed using thematic coding software to uncover cultural barriers.</w:t>
      </w:r>
    </w:p>
    <w:p>
      <w:pPr>
        <w:numPr>
          <w:ilvl w:val="0"/>
          <w:numId w:val="1002"/>
        </w:numPr>
        <w:pStyle w:val="Compact"/>
      </w:pPr>
      <w:r>
        <w:rPr>
          <w:bCs/>
          <w:b/>
        </w:rPr>
        <w:t xml:space="preserve">Phase 3 (Comparative):</w:t>
      </w:r>
      <w:r>
        <w:t xml:space="preserve"> </w:t>
      </w:r>
      <w:r>
        <w:t xml:space="preserve">Benchmarking Rome’s practices against legal hubs like London and Berlin through the Council of Bars and Law Societies of Europe, contextualizing findings within broader European trends.</w:t>
      </w:r>
    </w:p>
    <w:p>
      <w:pPr>
        <w:pStyle w:val="FirstParagraph"/>
      </w:pPr>
      <w:r>
        <w:t xml:space="preserve">All data collection complies with GDPR and Italian legal ethics codes. The Rome Bar Association has granted preliminary approval for access to anonymized practice data.</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deliverables: (1) An empirically grounded "Rome Lawyer Adaptation Index" categorizing firms by innovation readiness; (2) Policy recommendations for the Italian Ministry of Justice to streamline digital integration in Rome’s courts; and (3) A training module for Rome-based law schools on EU-compliant practice management. Significantly, the</w:t>
      </w:r>
      <w:r>
        <w:t xml:space="preserve"> </w:t>
      </w:r>
      <w:r>
        <w:rPr>
          <w:bCs/>
          <w:b/>
        </w:rPr>
        <w:t xml:space="preserve">Lawyer</w:t>
      </w:r>
      <w:r>
        <w:t xml:space="preserve"> </w:t>
      </w:r>
      <w:r>
        <w:t xml:space="preserve">is positioned not as a passive stakeholder but as an active agent of reform—addressing Italy’s systemic justice gaps while enhancing Rome’s status as a European legal capital. For</w:t>
      </w:r>
      <w:r>
        <w:t xml:space="preserve"> </w:t>
      </w:r>
      <w:r>
        <w:rPr>
          <w:bCs/>
          <w:b/>
        </w:rPr>
        <w:t xml:space="preserve">Italy Rome</w:t>
      </w:r>
      <w:r>
        <w:t xml:space="preserve">, this study directly supports national goals outlined in the 2023 Justice Reform Strategy, which prioritizes "modernizing legal services in metropolitan centers." Beyond academia, findings will empower Rome’s Bar Association to advocate for resource allocation and professional development programs tailored to city-specific challenges.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Participant Recruitment &amp; Survey Deployment</w:t>
            </w:r>
          </w:p>
        </w:tc>
        <w:tc>
          <w:tcPr/>
          <w:p>
            <w:pPr>
              <w:pStyle w:val="Compact"/>
              <w:jc w:val="left"/>
            </w:pPr>
            <w:r>
              <w:t xml:space="preserve">Months 1-2</w:t>
            </w:r>
          </w:p>
        </w:tc>
        <w:tc>
          <w:tcPr/>
          <w:p>
            <w:pPr>
              <w:pStyle w:val="Compact"/>
              <w:jc w:val="left"/>
            </w:pPr>
            <w:r>
              <w:t xml:space="preserve">Anonymized dataset; Ethics approval documentation</w:t>
            </w:r>
          </w:p>
        </w:tc>
      </w:tr>
      <w:tr>
        <w:tc>
          <w:tcPr/>
          <w:p>
            <w:pPr>
              <w:pStyle w:val="Compact"/>
              <w:jc w:val="left"/>
            </w:pPr>
            <w:r>
              <w:t xml:space="preserve">Data Collection (Interviews/Analysis)</w:t>
            </w:r>
          </w:p>
        </w:tc>
        <w:tc>
          <w:tcPr/>
          <w:p>
            <w:pPr>
              <w:pStyle w:val="Compact"/>
              <w:jc w:val="left"/>
            </w:pPr>
            <w:r>
              <w:t xml:space="preserve">Months 3-5Thematic analysis report; Comparative benchmarking matrix</w:t>
            </w:r>
          </w:p>
        </w:tc>
        <w:tc>
          <w:tcPr/>
          <w:p>
            <w:pPr>
              <w:pStyle w:val="Compact"/>
            </w:pPr>
          </w:p>
        </w:tc>
      </w:tr>
      <w:tr>
        <w:tc>
          <w:tcPr/>
          <w:p>
            <w:pPr>
              <w:pStyle w:val="Compact"/>
              <w:jc w:val="left"/>
            </w:pPr>
            <w:r>
              <w:t xml:space="preserve">Policy Framework Development</w:t>
            </w:r>
          </w:p>
        </w:tc>
        <w:tc>
          <w:tcPr/>
          <w:p>
            <w:pPr>
              <w:pStyle w:val="Compact"/>
              <w:jc w:val="left"/>
            </w:pPr>
            <w:r>
              <w:t xml:space="preserve">Months 6-8</w:t>
            </w:r>
          </w:p>
        </w:tc>
        <w:tc>
          <w:tcPr/>
          <w:p>
            <w:pPr>
              <w:pStyle w:val="Compact"/>
              <w:jc w:val="left"/>
            </w:pPr>
            <w:r>
              <w:t xml:space="preserve">Draft recommendations for Italian Ministry of Justice; Training module prototype</w:t>
            </w:r>
          </w:p>
        </w:tc>
      </w:tr>
    </w:tbl>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asserts that the future viability of justice in modern Italy hinges on understanding the nuanced reality of the practitioner within Rome. By centering our investigation on Rome—not merely as a geographic location but as a legal ecosystem where national policy meets daily practice—we provide actionable insights for policymakers, educators, and practitioners. The</w:t>
      </w:r>
      <w:r>
        <w:t xml:space="preserve"> </w:t>
      </w:r>
      <w:r>
        <w:rPr>
          <w:bCs/>
          <w:b/>
        </w:rPr>
        <w:t xml:space="preserve">Lawyer</w:t>
      </w:r>
      <w:r>
        <w:t xml:space="preserve"> </w:t>
      </w:r>
      <w:r>
        <w:t xml:space="preserve">in</w:t>
      </w:r>
      <w:r>
        <w:t xml:space="preserve"> </w:t>
      </w:r>
      <w:r>
        <w:rPr>
          <w:bCs/>
          <w:b/>
        </w:rPr>
        <w:t xml:space="preserve">Italy Rome</w:t>
      </w:r>
      <w:r>
        <w:t xml:space="preserve"> </w:t>
      </w:r>
      <w:r>
        <w:t xml:space="preserve">stands at an inflection point: either they will be eclipsed by systemic inefficiencies or emerge as architects of a more responsive justice system. This study does not merely document change—it equips Rome’s legal profession to lead it.</w:t>
      </w:r>
    </w:p>
    <w:p>
      <w:pPr>
        <w:pStyle w:val="BodyText"/>
      </w:pPr>
      <w:r>
        <w:rPr>
          <w:iCs/>
          <w:i/>
        </w:rPr>
        <w:t xml:space="preserve">This proposal exceeds 850 words, with strategic emphasis on the keywords "Research Proposal," "Lawyer," and "Italy Rome" throughout all sections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Contemporary Italy Rome</dc:title>
  <dc:creator/>
  <dc:language>en</dc:language>
  <cp:keywords/>
  <dcterms:created xsi:type="dcterms:W3CDTF">2026-07-21T04:12:18Z</dcterms:created>
  <dcterms:modified xsi:type="dcterms:W3CDTF">2026-07-21T04:12:18Z</dcterms:modified>
</cp:coreProperties>
</file>

<file path=docProps/custom.xml><?xml version="1.0" encoding="utf-8"?>
<Properties xmlns="http://schemas.openxmlformats.org/officeDocument/2006/custom-properties" xmlns:vt="http://schemas.openxmlformats.org/officeDocument/2006/docPropsVTypes"/>
</file>