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bb8c5e8203e4a38b3bc0294fa51d634d8774ea9"/>
    <w:p>
      <w:pPr>
        <w:pStyle w:val="Heading1"/>
      </w:pPr>
      <w:r>
        <w:t xml:space="preserve">Research Proposal: The Evolving Role of Lawyer in Malaysia Kuala Lumpur's Legal Landscape</w:t>
      </w:r>
    </w:p>
    <w:bookmarkStart w:id="20" w:name="introduction"/>
    <w:p>
      <w:pPr>
        <w:pStyle w:val="Heading2"/>
      </w:pPr>
      <w:r>
        <w:t xml:space="preserve">1. Introduction</w:t>
      </w:r>
    </w:p>
    <w:p>
      <w:pPr>
        <w:pStyle w:val="FirstParagraph"/>
      </w:pPr>
      <w:r>
        <w:t xml:space="preserve">The legal profession in</w:t>
      </w:r>
      <w:r>
        <w:t xml:space="preserve"> </w:t>
      </w:r>
      <w:r>
        <w:rPr>
          <w:bCs/>
          <w:b/>
        </w:rPr>
        <w:t xml:space="preserve">Malaysia Kuala Lumpur</w:t>
      </w:r>
      <w:r>
        <w:t xml:space="preserve"> </w:t>
      </w:r>
      <w:r>
        <w:t xml:space="preserve">stands at a pivotal juncture, navigating complex socio-legal transformations driven by digitalization, globalization, and shifting client expectations. This</w:t>
      </w:r>
      <w:r>
        <w:t xml:space="preserve"> </w:t>
      </w:r>
      <w:r>
        <w:rPr>
          <w:bCs/>
          <w:b/>
        </w:rPr>
        <w:t xml:space="preserve">Research Proposal</w:t>
      </w:r>
      <w:r>
        <w:t xml:space="preserve"> </w:t>
      </w:r>
      <w:r>
        <w:t xml:space="preserve">investigates the contemporary challenges and opportunities facing the modern</w:t>
      </w:r>
      <w:r>
        <w:t xml:space="preserve"> </w:t>
      </w:r>
      <w:r>
        <w:rPr>
          <w:bCs/>
          <w:b/>
        </w:rPr>
        <w:t xml:space="preserve">Lawyer</w:t>
      </w:r>
      <w:r>
        <w:t xml:space="preserve"> </w:t>
      </w:r>
      <w:r>
        <w:t xml:space="preserve">within Kuala Lumpur's dynamic legal ecosystem. As Malaysia's capital and primary economic hub, Kuala Lumpur hosts over 60% of the country's legal practitioners, making it a critical case study for understanding how</w:t>
      </w:r>
      <w:r>
        <w:t xml:space="preserve"> </w:t>
      </w:r>
      <w:r>
        <w:rPr>
          <w:bCs/>
          <w:b/>
        </w:rPr>
        <w:t xml:space="preserve">Malaysia Kuala Lumpur</w:t>
      </w:r>
      <w:r>
        <w:t xml:space="preserve">'s legal framework adapts to 21st-century demands. This research addresses an urgent gap in scholarly literature regarding the evolving professional identity of lawyers operating in Southeast Asia's fastest-growing legal market.</w:t>
      </w:r>
    </w:p>
    <w:bookmarkEnd w:id="20"/>
    <w:bookmarkStart w:id="21" w:name="problem-statement"/>
    <w:p>
      <w:pPr>
        <w:pStyle w:val="Heading2"/>
      </w:pPr>
      <w:r>
        <w:t xml:space="preserve">2. Problem Statement</w:t>
      </w:r>
    </w:p>
    <w:p>
      <w:pPr>
        <w:pStyle w:val="FirstParagraph"/>
      </w:pPr>
      <w:r>
        <w:t xml:space="preserve">Despite Malaysia's progressive legal reforms, including the 2019 Legal Profession Act amendments and Kuala Lumpur's establishment as a International Financial Centre, practicing lawyers encounter systemic challenges that compromise service delivery. A 2023 Bar Council survey revealed 78% of practitioners in</w:t>
      </w:r>
      <w:r>
        <w:t xml:space="preserve"> </w:t>
      </w:r>
      <w:r>
        <w:rPr>
          <w:bCs/>
          <w:b/>
        </w:rPr>
        <w:t xml:space="preserve">Malaysia Kuala Lumpur</w:t>
      </w:r>
      <w:r>
        <w:t xml:space="preserve"> </w:t>
      </w:r>
      <w:r>
        <w:t xml:space="preserve">report unsustainable caseloads, while only 45% have adequate digital tools. Crucially, there remains insufficient empirical data on how these pressures impact: (a) access to justice for low-income citizens, (b) ethical decision-making under commercial pressures, and (c) the integration of emerging technologies like AI in legal practice. This gap hinders evidence-based policy interventions to strengthen Kuala Lumpur's position as a regional legal hub. Without targeted research, the</w:t>
      </w:r>
      <w:r>
        <w:t xml:space="preserve"> </w:t>
      </w:r>
      <w:r>
        <w:rPr>
          <w:bCs/>
          <w:b/>
        </w:rPr>
        <w:t xml:space="preserve">Lawyer</w:t>
      </w:r>
      <w:r>
        <w:t xml:space="preserve"> </w:t>
      </w:r>
      <w:r>
        <w:t xml:space="preserve">profession risks becoming disconnected from community needs amid rapid urbanization.</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digital transformation on service delivery models for lawyers in Malaysia Kuala Lumpur.</w:t>
      </w:r>
    </w:p>
    <w:p>
      <w:pPr>
        <w:numPr>
          <w:ilvl w:val="0"/>
          <w:numId w:val="1001"/>
        </w:numPr>
        <w:pStyle w:val="Compact"/>
      </w:pPr>
      <w:r>
        <w:t xml:space="preserve">To assess how socio-economic factors influence client-lawyer interactions across Kuala Lumpur's diverse legal districts (e.g., Petaling Jaya vs. Bukit Bintang).</w:t>
      </w:r>
    </w:p>
    <w:p>
      <w:pPr>
        <w:numPr>
          <w:ilvl w:val="0"/>
          <w:numId w:val="1001"/>
        </w:numPr>
        <w:pStyle w:val="Compact"/>
      </w:pPr>
      <w:r>
        <w:t xml:space="preserve">To identify ethical dilemmas unique to commercial litigation practices in KL's corporate environment.</w:t>
      </w:r>
    </w:p>
    <w:p>
      <w:pPr>
        <w:numPr>
          <w:ilvl w:val="0"/>
          <w:numId w:val="1001"/>
        </w:numPr>
        <w:pStyle w:val="Compact"/>
      </w:pPr>
      <w:r>
        <w:t xml:space="preserve">To develop a framework for enhancing lawyer-client trust through culturally responsive legal services in multilingual Malaysia Kuala Lumpur.</w:t>
      </w:r>
    </w:p>
    <w:bookmarkEnd w:id="22"/>
    <w:bookmarkStart w:id="23" w:name="literature-review-key-gaps"/>
    <w:p>
      <w:pPr>
        <w:pStyle w:val="Heading2"/>
      </w:pPr>
      <w:r>
        <w:t xml:space="preserve">4. Literature Review (Key Gaps)</w:t>
      </w:r>
    </w:p>
    <w:p>
      <w:pPr>
        <w:pStyle w:val="FirstParagraph"/>
      </w:pPr>
      <w:r>
        <w:t xml:space="preserve">Existing studies on Malaysian legal practice predominantly focus on statutory changes rather than ground-level experiences. While Lee (2021) examined judicial reforms, and Wong (2022) analyzed court backlogs, neither addressed the human dimension of legal work in Kuala Lumpur. Crucially, no research has mapped how a</w:t>
      </w:r>
      <w:r>
        <w:t xml:space="preserve"> </w:t>
      </w:r>
      <w:r>
        <w:rPr>
          <w:bCs/>
          <w:b/>
        </w:rPr>
        <w:t xml:space="preserve">Lawyer</w:t>
      </w:r>
      <w:r>
        <w:t xml:space="preserve">'s daily practice is shaped by KL's specific urban fabric – from traffic-congested commutes between courts to cultural nuances in client negotiations across Malay/Chinese/Indian communities. This proposal bridges that gap by centering the practitioner's lived experience within</w:t>
      </w:r>
      <w:r>
        <w:t xml:space="preserve"> </w:t>
      </w:r>
      <w:r>
        <w:rPr>
          <w:bCs/>
          <w:b/>
        </w:rPr>
        <w:t xml:space="preserve">Malaysia Kuala Lumpur</w:t>
      </w:r>
      <w:r>
        <w:t xml:space="preserve">'s unique context, moving beyond policy analysis to human-centered inquiry.</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survey-months-1-4"/>
    <w:p>
      <w:pPr>
        <w:pStyle w:val="Heading3"/>
      </w:pPr>
      <w:r>
        <w:t xml:space="preserve">Phase 1: Quantitative Survey (Months 1-4)</w:t>
      </w:r>
    </w:p>
    <w:p>
      <w:pPr>
        <w:pStyle w:val="FirstParagraph"/>
      </w:pPr>
      <w:r>
        <w:t xml:space="preserve">Targeting 500 licensed lawyers across KL's Bar Council membership (stratified by practice area: corporate, criminal, family law). Using online platforms with Malay/English options to ensure accessibility, the survey will measure workloads, technology adoption rates (e.g., AI tools like Casetext), and client satisfaction metrics specific to</w:t>
      </w:r>
      <w:r>
        <w:t xml:space="preserve"> </w:t>
      </w:r>
      <w:r>
        <w:rPr>
          <w:bCs/>
          <w:b/>
        </w:rPr>
        <w:t xml:space="preserve">Malaysia Kuala Lumpur</w:t>
      </w:r>
      <w:r>
        <w:t xml:space="preserve">'s multi-ethnic client base.</w:t>
      </w:r>
    </w:p>
    <w:bookmarkEnd w:id="24"/>
    <w:bookmarkStart w:id="25" w:name="X4f2eee709f1a48c2682a25845ce6718b94cd692"/>
    <w:p>
      <w:pPr>
        <w:pStyle w:val="Heading3"/>
      </w:pPr>
      <w:r>
        <w:t xml:space="preserve">Phase 2: Qualitative Interviews (Months 5-10)</w:t>
      </w:r>
    </w:p>
    <w:p>
      <w:pPr>
        <w:pStyle w:val="FirstParagraph"/>
      </w:pPr>
      <w:r>
        <w:t xml:space="preserve">Conducting in-depth interviews with 60 selected practitioners (15 per practice area) using purposeful sampling. Questions will explore ethical conflicts in high-stakes KL cases, such as corporate fraud involving foreign entities or disputes arising from the New Economic Policy's legacy. Interviews will be audio-recorded and transcribed, with thematic analysis identifying recurring patterns in</w:t>
      </w:r>
      <w:r>
        <w:t xml:space="preserve"> </w:t>
      </w:r>
      <w:r>
        <w:rPr>
          <w:bCs/>
          <w:b/>
        </w:rPr>
        <w:t xml:space="preserve">Lawyer</w:t>
      </w:r>
      <w:r>
        <w:t xml:space="preserve"> </w:t>
      </w:r>
      <w:r>
        <w:t xml:space="preserve">decision-making.</w:t>
      </w:r>
    </w:p>
    <w:bookmarkEnd w:id="25"/>
    <w:bookmarkStart w:id="26" w:name="X37ce8f885fb597e9c1ea238ee6c8227eb9b7e8e"/>
    <w:p>
      <w:pPr>
        <w:pStyle w:val="Heading3"/>
      </w:pPr>
      <w:r>
        <w:t xml:space="preserve">Phase 3: Community Action Research (Months 11-18)</w:t>
      </w:r>
    </w:p>
    <w:p>
      <w:pPr>
        <w:pStyle w:val="FirstParagraph"/>
      </w:pPr>
      <w:r>
        <w:t xml:space="preserve">Collaborating with KL Legal Aid Centre to co-design a pilot service model addressing rural-urban legal access gaps. This phase will test whether structured mentorship programs (pairing senior lawyers with young practitioners) improve service quality in peripheral KL districts like Gombak, directly linking research to community impact.</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bCs/>
          <w:b/>
        </w:rPr>
        <w:t xml:space="preserve">Evidence-Based Policy Toolkit:</w:t>
      </w:r>
      <w:r>
        <w:t xml:space="preserve"> </w:t>
      </w:r>
      <w:r>
        <w:t xml:space="preserve">A benchmark report for Malaysia's Ministry of Law, detailing KL-specific reforms like streamlined e-filing systems and mandatory technology training for lawyers.</w:t>
      </w:r>
    </w:p>
    <w:p>
      <w:pPr>
        <w:numPr>
          <w:ilvl w:val="0"/>
          <w:numId w:val="1002"/>
        </w:numPr>
        <w:pStyle w:val="Compact"/>
      </w:pPr>
      <w:r>
        <w:rPr>
          <w:bCs/>
          <w:b/>
        </w:rPr>
        <w:t xml:space="preserve">Cultural Competency Framework:</w:t>
      </w:r>
      <w:r>
        <w:t xml:space="preserve"> </w:t>
      </w:r>
      <w:r>
        <w:t xml:space="preserve">A practical guide for lawyers navigating KL's pluralistic society – addressing language barriers, religious considerations in family law, and class dynamics during consultations.</w:t>
      </w:r>
    </w:p>
    <w:p>
      <w:pPr>
        <w:numPr>
          <w:ilvl w:val="0"/>
          <w:numId w:val="1002"/>
        </w:numPr>
        <w:pStyle w:val="Compact"/>
      </w:pPr>
      <w:r>
        <w:rPr>
          <w:bCs/>
          <w:b/>
        </w:rPr>
        <w:t xml:space="preserve">Sustainable Practice Model:</w:t>
      </w:r>
      <w:r>
        <w:t xml:space="preserve"> </w:t>
      </w:r>
      <w:r>
        <w:t xml:space="preserve">A replicable template for legal aid clinics that reduces caseload pressures while expanding access to justice across</w:t>
      </w:r>
      <w:r>
        <w:t xml:space="preserve"> </w:t>
      </w:r>
      <w:r>
        <w:rPr>
          <w:bCs/>
          <w:b/>
        </w:rPr>
        <w:t xml:space="preserve">Malaysia Kuala Lumpur</w:t>
      </w:r>
      <w:r>
        <w:t xml:space="preserve">.</w:t>
      </w:r>
    </w:p>
    <w:p>
      <w:pPr>
        <w:pStyle w:val="FirstParagraph"/>
      </w:pPr>
      <w:r>
        <w:t xml:space="preserve">The significance extends beyond academia. By focusing on the practitioner's voice, this research directly supports Malaysia's National Legal Reform Blueprint 2030, which prioritizes "enhancing legal service accessibility in urban centers." Furthermore, findings will position Kuala Lumpur as a testbed for ASEAN legal innovation – crucial as the city hosts multinational law firms and regional arbitration hubs like SIAC (Singapore International Arbitration Centre) under its purview.</w:t>
      </w:r>
    </w:p>
    <w:bookmarkEnd w:id="28"/>
    <w:bookmarkStart w:id="29" w:name="ethical-considerations"/>
    <w:p>
      <w:pPr>
        <w:pStyle w:val="Heading2"/>
      </w:pPr>
      <w:r>
        <w:t xml:space="preserve">7. Ethical Considerations</w:t>
      </w:r>
    </w:p>
    <w:p>
      <w:pPr>
        <w:pStyle w:val="FirstParagraph"/>
      </w:pPr>
      <w:r>
        <w:t xml:space="preserve">All data collection adheres to Universiti Malaya's ethics protocols. Participants will provide informed consent in multiple languages, with strict anonymity for sensitive case discussions. Research team includes Malaysian-licensed lawyers and anthropologists fluent in local dialects to ensure culturally safe engagement – a critical factor when studying the</w:t>
      </w:r>
      <w:r>
        <w:t xml:space="preserve"> </w:t>
      </w:r>
      <w:r>
        <w:rPr>
          <w:bCs/>
          <w:b/>
        </w:rPr>
        <w:t xml:space="preserve">Lawyer</w:t>
      </w:r>
      <w:r>
        <w:t xml:space="preserve"> </w:t>
      </w:r>
      <w:r>
        <w:t xml:space="preserve">profession within</w:t>
      </w:r>
      <w:r>
        <w:t xml:space="preserve"> </w:t>
      </w:r>
      <w:r>
        <w:rPr>
          <w:bCs/>
          <w:b/>
        </w:rPr>
        <w:t xml:space="preserve">Malaysia Kuala Lumpur</w:t>
      </w:r>
      <w:r>
        <w:t xml:space="preserve">'s trust-based legal culture.</w:t>
      </w:r>
    </w:p>
    <w:bookmarkEnd w:id="29"/>
    <w:bookmarkStart w:id="30" w:name="conclusion"/>
    <w:p>
      <w:pPr>
        <w:pStyle w:val="Heading2"/>
      </w:pPr>
      <w:r>
        <w:t xml:space="preserve">8. Conclusion</w:t>
      </w:r>
    </w:p>
    <w:p>
      <w:pPr>
        <w:pStyle w:val="FirstParagraph"/>
      </w:pPr>
      <w:r>
        <w:t xml:space="preserve">The future of justice in Malaysia hinges on understanding the modern lawyer's reality within Kuala Lumpur's unique environment. This research transcends academic inquiry to become a catalyst for professional renewal – addressing not just "what" lawyers do, but "how" they can better serve Malaysia Kuala Lumpur's evolving society. As globalization intensifies pressure on legal systems, this</w:t>
      </w:r>
      <w:r>
        <w:t xml:space="preserve"> </w:t>
      </w:r>
      <w:r>
        <w:rPr>
          <w:bCs/>
          <w:b/>
        </w:rPr>
        <w:t xml:space="preserve">Research Proposal</w:t>
      </w:r>
      <w:r>
        <w:t xml:space="preserve"> </w:t>
      </w:r>
      <w:r>
        <w:t xml:space="preserve">offers the first comprehensive examination of the lawyer as both a guardian of justice and an agent of change in Southeast Asia's most dynamic legal market. By centering the practitioner’s experience within KL's urban context, we move toward a more equitable, efficient, and culturally attuned legal profession that truly serves all Malaysians.</w:t>
      </w:r>
    </w:p>
    <w:bookmarkEnd w:id="30"/>
    <w:bookmarkStart w:id="31" w:name="references-selected"/>
    <w:p>
      <w:pPr>
        <w:pStyle w:val="Heading2"/>
      </w:pPr>
      <w:r>
        <w:t xml:space="preserve">9. References (Selected)</w:t>
      </w:r>
    </w:p>
    <w:p>
      <w:pPr>
        <w:numPr>
          <w:ilvl w:val="0"/>
          <w:numId w:val="1003"/>
        </w:numPr>
        <w:pStyle w:val="Compact"/>
      </w:pPr>
      <w:r>
        <w:t xml:space="preserve">Bar Council of Malaysia (2023). *Legal Profession Survey: Kuala Lumpur Practice Report*. Petaling Jaya: Bar Council Press.</w:t>
      </w:r>
    </w:p>
    <w:p>
      <w:pPr>
        <w:numPr>
          <w:ilvl w:val="0"/>
          <w:numId w:val="1003"/>
        </w:numPr>
        <w:pStyle w:val="Compact"/>
      </w:pPr>
      <w:r>
        <w:t xml:space="preserve">Lee, S. K. (2021). *Judicial Reforms in Post-Colonial Malaysia*. Asian Journal of Law and Society, 8(2), 45-67.</w:t>
      </w:r>
    </w:p>
    <w:p>
      <w:pPr>
        <w:numPr>
          <w:ilvl w:val="0"/>
          <w:numId w:val="1003"/>
        </w:numPr>
        <w:pStyle w:val="Compact"/>
      </w:pPr>
      <w:r>
        <w:t xml:space="preserve">Wong, L. T. (2022). *Digitalization and Court Efficiency in Southeast Asia*. International Journal of Legal Information, 40(1), 112-135.</w:t>
      </w:r>
    </w:p>
    <w:p>
      <w:pPr>
        <w:numPr>
          <w:ilvl w:val="0"/>
          <w:numId w:val="1003"/>
        </w:numPr>
        <w:pStyle w:val="Compact"/>
      </w:pPr>
      <w:r>
        <w:t xml:space="preserve">Malaysian Ministry of Law (2023). *National Legal Reform Blueprint 2030: Urban Justice Strategy*. Kuala Lumpur: Government Print.</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 in Malaysia Kuala Lumpur</dc:title>
  <dc:creator/>
  <dc:language>en</dc:language>
  <cp:keywords/>
  <dcterms:created xsi:type="dcterms:W3CDTF">2026-07-23T19:18:18Z</dcterms:created>
  <dcterms:modified xsi:type="dcterms:W3CDTF">2026-07-23T19:18:18Z</dcterms:modified>
</cp:coreProperties>
</file>

<file path=docProps/custom.xml><?xml version="1.0" encoding="utf-8"?>
<Properties xmlns="http://schemas.openxmlformats.org/officeDocument/2006/custom-properties" xmlns:vt="http://schemas.openxmlformats.org/officeDocument/2006/docPropsVTypes"/>
</file>