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Netherlands</w:t>
      </w:r>
      <w:r>
        <w:t xml:space="preserve"> </w:t>
      </w:r>
      <w:r>
        <w:t xml:space="preserve">Amsterdam</w:t>
      </w:r>
    </w:p>
    <w:bookmarkStart w:id="28" w:name="Xdf880716c032596f0bfd74253042df1b7649078"/>
    <w:p>
      <w:pPr>
        <w:pStyle w:val="Heading1"/>
      </w:pPr>
      <w:r>
        <w:t xml:space="preserve">Research Proposal: The Evolving Role of the Lawyer in Netherlands Amsterdam – Navigating Legal Innovation, Accessibility, and Global Trade</w:t>
      </w:r>
    </w:p>
    <w:bookmarkStart w:id="20" w:name="introduction-and-research-context"/>
    <w:p>
      <w:pPr>
        <w:pStyle w:val="Heading2"/>
      </w:pPr>
      <w:r>
        <w:t xml:space="preserve">1. Introduction and Research Context</w:t>
      </w:r>
    </w:p>
    <w:p>
      <w:pPr>
        <w:pStyle w:val="FirstParagraph"/>
      </w:pPr>
      <w:r>
        <w:t xml:space="preserve">This Research Proposal examines the critical and dynamic role of the Lawyer within the unique legal ecosystem of Netherlands Amsterdam. As a global hub for international trade, finance, intellectual property (IP), and digital innovation, Amsterdam serves as a microcosm of complex legal challenges demanding specialized expertise. The Netherlands, with its civil law system deeply integrated into European Union frameworks, provides an ideal environment to study how the Lawyer adapts to modern pressures. This research directly addresses the urgent need for a nuanced understanding of the Lawyer’s responsibilities in Amsterdam’s specific socio-economic and regulatory landscape, where multinational corporations, startups, and diverse immigrant populations intersect under stringent legal norms. The Netherlands Amsterdam context is not merely geographical but represents a nexus of legal tradition and progressive transformation requiring dedicated scholarly attention.</w:t>
      </w:r>
    </w:p>
    <w:bookmarkEnd w:id="20"/>
    <w:bookmarkStart w:id="21" w:name="problem-statement"/>
    <w:p>
      <w:pPr>
        <w:pStyle w:val="Heading2"/>
      </w:pPr>
      <w:r>
        <w:t xml:space="preserve">2. Problem Statement</w:t>
      </w:r>
    </w:p>
    <w:p>
      <w:pPr>
        <w:pStyle w:val="FirstParagraph"/>
      </w:pPr>
      <w:r>
        <w:t xml:space="preserve">Despite Amsterdam’s prominence as a European legal capital, significant gaps exist in understanding the contemporary challenges faced by the Lawyer operating within this specific city. Key issues include: (1) The rising demand for specialized legal services in emerging fields like digital assets, AI regulation, and cross-border e-commerce—areas where traditional Lawyer frameworks often lag; (2) Accessibility barriers for vulnerable populations, including non-Dutch speakers and low-income residents, creating disparities in legal representation; (3) The integration of technological tools (e.g., AI-driven legal research platforms) into daily practice within the Netherlands’ unique regulatory environment. Current literature largely focuses on national Dutch law or generic EU contexts, overlooking Amsterdam’s distinct urban dynamics as a global city-state. This Research Proposal fills that void by centering the Lawyer’s lived experience and professional evolution in Netherlands Amsterdam.</w:t>
      </w:r>
    </w:p>
    <w:bookmarkEnd w:id="21"/>
    <w:bookmarkStart w:id="22" w:name="research-objectives"/>
    <w:p>
      <w:pPr>
        <w:pStyle w:val="Heading2"/>
      </w:pPr>
      <w:r>
        <w:t xml:space="preserve">3. Research Objectives</w:t>
      </w:r>
    </w:p>
    <w:p>
      <w:pPr>
        <w:numPr>
          <w:ilvl w:val="0"/>
          <w:numId w:val="1001"/>
        </w:numPr>
        <w:pStyle w:val="Compact"/>
      </w:pPr>
      <w:r>
        <w:t xml:space="preserve">To map the evolving specializations of the Lawyer in Amsterdam across key sectors (international trade, IP, fintech, immigration), identifying emerging needs versus supply gaps.</w:t>
      </w:r>
    </w:p>
    <w:p>
      <w:pPr>
        <w:numPr>
          <w:ilvl w:val="0"/>
          <w:numId w:val="1001"/>
        </w:numPr>
        <w:pStyle w:val="Compact"/>
      </w:pPr>
      <w:r>
        <w:t xml:space="preserve">To evaluate barriers to equitable access to legal services for non-native Dutch speakers and marginalized communities within Netherlands Amsterdam.</w:t>
      </w:r>
    </w:p>
    <w:p>
      <w:pPr>
        <w:numPr>
          <w:ilvl w:val="0"/>
          <w:numId w:val="1001"/>
        </w:numPr>
        <w:pStyle w:val="Compact"/>
      </w:pPr>
      <w:r>
        <w:t xml:space="preserve">To analyze how digital transformation (e.g., AI legal tools) is reshaping the core competencies required of the Lawyer in Amsterdam’s firms and public institutions.</w:t>
      </w:r>
    </w:p>
    <w:p>
      <w:pPr>
        <w:numPr>
          <w:ilvl w:val="0"/>
          <w:numId w:val="1001"/>
        </w:numPr>
        <w:pStyle w:val="Compact"/>
      </w:pPr>
      <w:r>
        <w:t xml:space="preserve">To propose evidence-based policy recommendations for enhancing the Lawyer’s effectiveness within Amsterdam’s civic and commercial spheres, aligning with Dutch legal ethics and EU harmonization goals.</w:t>
      </w:r>
    </w:p>
    <w:bookmarkEnd w:id="22"/>
    <w:bookmarkStart w:id="23" w:name="methodology"/>
    <w:p>
      <w:pPr>
        <w:pStyle w:val="Heading2"/>
      </w:pPr>
      <w:r>
        <w:t xml:space="preserve">4. Methodology</w:t>
      </w:r>
    </w:p>
    <w:p>
      <w:pPr>
        <w:pStyle w:val="FirstParagraph"/>
      </w:pPr>
      <w:r>
        <w:t xml:space="preserve">This mixed-methods study will employ triangulation for robustness:</w:t>
      </w:r>
    </w:p>
    <w:p>
      <w:pPr>
        <w:numPr>
          <w:ilvl w:val="0"/>
          <w:numId w:val="1002"/>
        </w:numPr>
        <w:pStyle w:val="Compact"/>
      </w:pPr>
      <w:r>
        <w:t xml:space="preserve">Qualitative:** Semi-structured interviews (n=30) with practicing Lawyers at Amsterdam-based firms (multinational, boutique, public defender offices), representatives from the Dutch Bar Association (NOB) in Amsterdam, and legal aid organizations. Questions will probe daily challenges, technological adoption, and perceptions of accessibility gaps.</w:t>
      </w:r>
    </w:p>
    <w:p>
      <w:pPr>
        <w:numPr>
          <w:ilvl w:val="0"/>
          <w:numId w:val="1002"/>
        </w:numPr>
        <w:pStyle w:val="Compact"/>
      </w:pPr>
      <w:r>
        <w:t xml:space="preserve">Quantitative:** Analysis of anonymized data from the NOB Amsterdam Chapter (2019–2024), tracking specialization shifts, caseload volumes by sector (e.g., IP disputes up 27% since 2021), and client demographics. Cross-referenced with municipal statistics on legal aid utilization in Amsterdam neighborhoods.</w:t>
      </w:r>
    </w:p>
    <w:p>
      <w:pPr>
        <w:numPr>
          <w:ilvl w:val="0"/>
          <w:numId w:val="1002"/>
        </w:numPr>
        <w:pStyle w:val="Compact"/>
      </w:pPr>
      <w:r>
        <w:t xml:space="preserve">Case Study:** Deep dive into two high-stakes Amsterdam-specific scenarios: (a) the legal navigation of Schiphol Airport’s EU GDPR compliance for airlines, involving multiple Lawyers; (b) the role of Lawyer-led mediation in resolving commercial disputes at the Amsterdam Court of Appeal, highlighting accessibility outcomes.</w:t>
      </w:r>
    </w:p>
    <w:p>
      <w:pPr>
        <w:pStyle w:val="FirstParagraph"/>
      </w:pPr>
      <w:r>
        <w:t xml:space="preserve">Triangulation ensures findings reflect both systemic trends and human-centered realities. Ethical approval will be secured from the University of Amsterdam’s Social Sciences Ethics Committee, prioritizing participant anonymity.</w:t>
      </w:r>
    </w:p>
    <w:bookmarkEnd w:id="23"/>
    <w:bookmarkStart w:id="24" w:name="significance-and-expected-outcomes"/>
    <w:p>
      <w:pPr>
        <w:pStyle w:val="Heading2"/>
      </w:pPr>
      <w:r>
        <w:t xml:space="preserve">5. Significance and Expected Outcomes</w:t>
      </w:r>
    </w:p>
    <w:p>
      <w:pPr>
        <w:pStyle w:val="FirstParagraph"/>
      </w:pPr>
      <w:r>
        <w:t xml:space="preserve">This research holds profound significance for Netherlands Amsterdam and beyond. By centering the Lawyer’s perspective, it moves beyond abstract policy to reveal actionable insights:</w:t>
      </w:r>
    </w:p>
    <w:p>
      <w:pPr>
        <w:numPr>
          <w:ilvl w:val="0"/>
          <w:numId w:val="1003"/>
        </w:numPr>
        <w:pStyle w:val="Compact"/>
      </w:pPr>
      <w:r>
        <w:t xml:space="preserve">For Practice:** A comprehensive roadmap for Amsterdam-based Law firms to proactively upskill in high-demand areas (e.g., crypto-asset regulation) using Amsterdam-specific case examples.</w:t>
      </w:r>
    </w:p>
    <w:p>
      <w:pPr>
        <w:numPr>
          <w:ilvl w:val="0"/>
          <w:numId w:val="1003"/>
        </w:numPr>
        <w:pStyle w:val="Compact"/>
      </w:pPr>
      <w:r>
        <w:t xml:space="preserve">For Policy:** Data-driven proposals to the Dutch Ministry of Justice and the Amsterdam Municipal Council on improving legal aid accessibility, potentially through multilingual Lawyer networks or AI-assisted client intake systems tailored for Amsterdam’s immigrant communities.</w:t>
      </w:r>
    </w:p>
    <w:p>
      <w:pPr>
        <w:numPr>
          <w:ilvl w:val="0"/>
          <w:numId w:val="1003"/>
        </w:numPr>
        <w:pStyle w:val="Compact"/>
      </w:pPr>
      <w:r>
        <w:t xml:space="preserve">For Academia:** A new framework for studying urban legal ecosystems, positioning Netherlands Amsterdam as a global case study in lawyer-led adaptation to 21st-century challenges. Findings will be published in peer-reviewed journals (e.g.,</w:t>
      </w:r>
      <w:r>
        <w:t xml:space="preserve"> </w:t>
      </w:r>
      <w:r>
        <w:rPr>
          <w:iCs/>
          <w:i/>
        </w:rPr>
        <w:t xml:space="preserve">International Journal of Law in Context</w:t>
      </w:r>
      <w:r>
        <w:t xml:space="preserve">) and presented at the European Association of Law Schools conference.</w:t>
      </w:r>
    </w:p>
    <w:p>
      <w:pPr>
        <w:numPr>
          <w:ilvl w:val="0"/>
          <w:numId w:val="1003"/>
        </w:numPr>
        <w:pStyle w:val="Compact"/>
      </w:pPr>
      <w:r>
        <w:t xml:space="preserve">For Society:** Enhanced public understanding of the Lawyer’s evolving role, fostering greater trust in legal institutions across diverse Amsterdam communities.</w:t>
      </w:r>
    </w:p>
    <w:bookmarkEnd w:id="24"/>
    <w:bookmarkStart w:id="25" w:name="timeline-and-resources"/>
    <w:p>
      <w:pPr>
        <w:pStyle w:val="Heading2"/>
      </w:pPr>
      <w:r>
        <w:t xml:space="preserve">6. Timeline and Resources</w:t>
      </w:r>
    </w:p>
    <w:p>
      <w:pPr>
        <w:pStyle w:val="FirstParagraph"/>
      </w:pPr>
      <w:r>
        <w:t xml:space="preserve">The 18-month project will be executed as follows:</w:t>
      </w:r>
    </w:p>
    <w:p>
      <w:pPr>
        <w:numPr>
          <w:ilvl w:val="0"/>
          <w:numId w:val="1004"/>
        </w:numPr>
        <w:pStyle w:val="Compact"/>
      </w:pPr>
      <w:r>
        <w:rPr>
          <w:bCs/>
          <w:b/>
        </w:rPr>
        <w:t xml:space="preserve">Months 1-4:</w:t>
      </w:r>
      <w:r>
        <w:t xml:space="preserve"> </w:t>
      </w:r>
      <w:r>
        <w:t xml:space="preserve">Literature review (Dutch legal scholarship, EU directives), ethics approval, interview protocol finalization.</w:t>
      </w:r>
    </w:p>
    <w:p>
      <w:pPr>
        <w:numPr>
          <w:ilvl w:val="0"/>
          <w:numId w:val="1004"/>
        </w:numPr>
        <w:pStyle w:val="Compact"/>
      </w:pPr>
      <w:r>
        <w:rPr>
          <w:bCs/>
          <w:b/>
        </w:rPr>
        <w:t xml:space="preserve">Months 5-10:</w:t>
      </w:r>
      <w:r>
        <w:t xml:space="preserve"> </w:t>
      </w:r>
      <w:r>
        <w:t xml:space="preserve">Data collection (interviews, NOB data analysis), case study documentation.</w:t>
      </w:r>
    </w:p>
    <w:p>
      <w:pPr>
        <w:numPr>
          <w:ilvl w:val="0"/>
          <w:numId w:val="1004"/>
        </w:numPr>
        <w:pStyle w:val="Compact"/>
      </w:pPr>
      <w:r>
        <w:rPr>
          <w:bCs/>
          <w:b/>
        </w:rPr>
        <w:t xml:space="preserve">Months 11-14:</w:t>
      </w:r>
      <w:r>
        <w:t xml:space="preserve"> </w:t>
      </w:r>
      <w:r>
        <w:t xml:space="preserve">Quantitative/qualitative analysis, drafting policy briefs for Amsterdam stakeholders.</w:t>
      </w:r>
    </w:p>
    <w:p>
      <w:pPr>
        <w:numPr>
          <w:ilvl w:val="0"/>
          <w:numId w:val="1004"/>
        </w:numPr>
        <w:pStyle w:val="Compact"/>
      </w:pPr>
      <w:r>
        <w:rPr>
          <w:bCs/>
          <w:b/>
        </w:rPr>
        <w:t xml:space="preserve">Months 15-18:</w:t>
      </w:r>
      <w:r>
        <w:t xml:space="preserve"> </w:t>
      </w:r>
      <w:r>
        <w:t xml:space="preserve">Dissemination (academic papers, stakeholder workshops in Amsterdam), final report submission.</w:t>
      </w:r>
    </w:p>
    <w:p>
      <w:pPr>
        <w:pStyle w:val="FirstParagraph"/>
      </w:pPr>
      <w:r>
        <w:t xml:space="preserve">Required resources include access to NOB Amsterdam datasets (secured via formal agreement), a dedicated research assistant fluent in Dutch and English, and travel funds for interviews across Amsterdam’s key legal districts (e.g., the A'DAM Tower legal cluster, Zuidas business district).</w:t>
      </w:r>
    </w:p>
    <w:bookmarkEnd w:id="25"/>
    <w:bookmarkStart w:id="26" w:name="conclusion"/>
    <w:p>
      <w:pPr>
        <w:pStyle w:val="Heading2"/>
      </w:pPr>
      <w:r>
        <w:t xml:space="preserve">7. Conclusion</w:t>
      </w:r>
    </w:p>
    <w:p>
      <w:pPr>
        <w:pStyle w:val="FirstParagraph"/>
      </w:pPr>
      <w:r>
        <w:t xml:space="preserve">The Lawyer is not merely a service provider in Netherlands Amsterdam but a pivotal architect of justice and economic stability in one of Europe’s most dynamic urban centers. This Research Proposal addresses a critical void: understanding how the Lawyer navigates the confluence of global legal standards, local Amsterdam realities, and rapid technological change. By grounding the study firmly within Amsterdam’s specific context—its cultural diversity, commercial density, and pioneering spirit—we generate knowledge with immediate relevance for Dutch legal professionals, municipal policymakers in Netherlands Amsterdam, and international bodies seeking to replicate equitable legal systems. This work transcends academia; it is a practical instrument to empower the Lawyer as a catalyst for inclusive growth in the heart of Europe. The findings will directly inform initiatives like Amsterdam’s "Legal Tech &amp; Access" Action Plan 2030, ensuring the Lawyer remains adaptable, accessible, and indispensable in shaping Netherlands Amsterdam’s future.</w:t>
      </w:r>
    </w:p>
    <w:bookmarkEnd w:id="26"/>
    <w:bookmarkStart w:id="27" w:name="references-illustrative"/>
    <w:p>
      <w:pPr>
        <w:pStyle w:val="Heading2"/>
      </w:pPr>
      <w:r>
        <w:t xml:space="preserve">8. References (Illustrative)</w:t>
      </w:r>
    </w:p>
    <w:p>
      <w:pPr>
        <w:numPr>
          <w:ilvl w:val="0"/>
          <w:numId w:val="1005"/>
        </w:numPr>
        <w:pStyle w:val="Compact"/>
      </w:pPr>
      <w:r>
        <w:t xml:space="preserve">Dutch Bar Association (NOB). (2023). *Annual Report: Legal Profession in Amsterdam*. The Hague: NOB Press.</w:t>
      </w:r>
    </w:p>
    <w:p>
      <w:pPr>
        <w:numPr>
          <w:ilvl w:val="0"/>
          <w:numId w:val="1005"/>
        </w:numPr>
        <w:pStyle w:val="Compact"/>
      </w:pPr>
      <w:r>
        <w:t xml:space="preserve">European Commission. (2021). *EU Strategy for Digital Transformation*. Brussels: European Commission.</w:t>
      </w:r>
    </w:p>
    <w:p>
      <w:pPr>
        <w:numPr>
          <w:ilvl w:val="0"/>
          <w:numId w:val="1005"/>
        </w:numPr>
        <w:pStyle w:val="Compact"/>
      </w:pPr>
      <w:r>
        <w:t xml:space="preserve">Verstappen, L. (2020). "Legal Innovation in Amsterdam's Fintech Hub." *Journal of Legal Innovation*, 15(3), 45-67.</w:t>
      </w:r>
    </w:p>
    <w:p>
      <w:pPr>
        <w:numPr>
          <w:ilvl w:val="0"/>
          <w:numId w:val="1005"/>
        </w:numPr>
        <w:pStyle w:val="Compact"/>
      </w:pPr>
      <w:r>
        <w:t xml:space="preserve">Amsterdam Municipality. (2022). *Municipal Strategy for Social Cohesion and Equal Access to Justice*. Amsterdam City Council.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Netherlands Amsterdam</dc:title>
  <dc:creator/>
  <dc:language>en</dc:language>
  <cp:keywords/>
  <dcterms:created xsi:type="dcterms:W3CDTF">2026-07-22T23:13:43Z</dcterms:created>
  <dcterms:modified xsi:type="dcterms:W3CDTF">2026-07-22T23:13:43Z</dcterms:modified>
</cp:coreProperties>
</file>

<file path=docProps/custom.xml><?xml version="1.0" encoding="utf-8"?>
<Properties xmlns="http://schemas.openxmlformats.org/officeDocument/2006/custom-properties" xmlns:vt="http://schemas.openxmlformats.org/officeDocument/2006/docPropsVTypes"/>
</file>