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Legal</w:t>
      </w:r>
      <w:r>
        <w:t xml:space="preserve"> </w:t>
      </w:r>
      <w:r>
        <w:t xml:space="preserve">Accessibility</w:t>
      </w:r>
      <w:r>
        <w:t xml:space="preserve"> </w:t>
      </w:r>
      <w:r>
        <w:t xml:space="preserve">for</w:t>
      </w:r>
      <w:r>
        <w:t xml:space="preserve"> </w:t>
      </w:r>
      <w:r>
        <w:t xml:space="preserve">Māori</w:t>
      </w:r>
      <w:r>
        <w:t xml:space="preserve"> </w:t>
      </w:r>
      <w:r>
        <w:t xml:space="preserve">Communities</w:t>
      </w:r>
      <w:r>
        <w:t xml:space="preserve"> </w:t>
      </w:r>
      <w:r>
        <w:t xml:space="preserve">through</w:t>
      </w:r>
      <w:r>
        <w:t xml:space="preserve"> </w:t>
      </w:r>
      <w:r>
        <w:t xml:space="preserve">Lawyer-Led</w:t>
      </w:r>
      <w:r>
        <w:t xml:space="preserve"> </w:t>
      </w:r>
      <w:r>
        <w:t xml:space="preserve">Initiatives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d208eb3a2437ab80f283896fdd6f2e614c692df"/>
    <w:p>
      <w:pPr>
        <w:pStyle w:val="Heading1"/>
      </w:pPr>
      <w:r>
        <w:t xml:space="preserve">Research Proposal: Enhancing Legal Accessibility for Māori Communities through Lawyer-Led Initiatives in New Zealand Wellington</w:t>
      </w:r>
    </w:p>
    <w:bookmarkStart w:id="20" w:name="abstract-approx.-200-words"/>
    <w:p>
      <w:pPr>
        <w:pStyle w:val="Heading2"/>
      </w:pPr>
      <w:r>
        <w:t xml:space="preserve">Abstract (Approx. 200 words)</w:t>
      </w:r>
    </w:p>
    <w:p>
      <w:pPr>
        <w:pStyle w:val="FirstParagraph"/>
      </w:pPr>
      <w:r>
        <w:t xml:space="preserve">This research proposal addresses a critical gap in the legal landscape of New Zealand Wellington: the accessibility of legal services for Māori communities. Despite legislative commitments to Treaty of Waitangi partnership and equitable access to justice, systemic barriers persist in Wellington, where approximately 30% of the population identifies as Māori yet faces significant hurdles in engaging with traditional legal frameworks. The proposed study examines the role of the</w:t>
      </w:r>
      <w:r>
        <w:t xml:space="preserve"> </w:t>
      </w:r>
      <w:r>
        <w:rPr>
          <w:bCs/>
          <w:b/>
        </w:rPr>
        <w:t xml:space="preserve">Lawyer</w:t>
      </w:r>
      <w:r>
        <w:t xml:space="preserve"> </w:t>
      </w:r>
      <w:r>
        <w:t xml:space="preserve">as a catalyst for culturally safe legal practice within Wellington's unique socio-legal environment. Through qualitative interviews with 35 legal practitioners, 20 Māori community representatives, and analysis of case files from Wellington-based Legal Aid New Zealand offices, this research will investigate how</w:t>
      </w:r>
      <w:r>
        <w:t xml:space="preserve"> </w:t>
      </w:r>
      <w:r>
        <w:rPr>
          <w:bCs/>
          <w:b/>
        </w:rPr>
        <w:t xml:space="preserve">Lawyer</w:t>
      </w:r>
      <w:r>
        <w:t xml:space="preserve">-led initiatives can dismantle barriers to justice. The findings will directly inform policy recommendations for the Wellington District Law Society and the New Zealand Ministry of Justice. This</w:t>
      </w:r>
      <w:r>
        <w:t xml:space="preserve"> </w:t>
      </w:r>
      <w:r>
        <w:rPr>
          <w:bCs/>
          <w:b/>
        </w:rPr>
        <w:t xml:space="preserve">Research Proposal</w:t>
      </w:r>
      <w:r>
        <w:t xml:space="preserve"> </w:t>
      </w:r>
      <w:r>
        <w:t xml:space="preserve">is grounded in the specific context of</w:t>
      </w:r>
      <w:r>
        <w:t xml:space="preserve"> </w:t>
      </w:r>
      <w:r>
        <w:rPr>
          <w:bCs/>
          <w:b/>
        </w:rPr>
        <w:t xml:space="preserve">New Zealand Wellington</w:t>
      </w:r>
      <w:r>
        <w:t xml:space="preserve">, recognizing its status as a hub for Māori governance (Te Pūkenga o te Ture), Treaty settlements, and diverse legal service providers. The study will produce actionable strategies to strengthen the role of the</w:t>
      </w:r>
      <w:r>
        <w:t xml:space="preserve"> </w:t>
      </w:r>
      <w:r>
        <w:rPr>
          <w:bCs/>
          <w:b/>
        </w:rPr>
        <w:t xml:space="preserve">Lawyer</w:t>
      </w:r>
      <w:r>
        <w:t xml:space="preserve"> </w:t>
      </w:r>
      <w:r>
        <w:t xml:space="preserve">in advancing Te Tiriti o Waitangi principles within Wellington's communities.</w:t>
      </w:r>
    </w:p>
    <w:bookmarkEnd w:id="20"/>
    <w:bookmarkStart w:id="21" w:name="X1cffbe88ea8bd490228181a5fc62b17ee225a09"/>
    <w:p>
      <w:pPr>
        <w:pStyle w:val="Heading2"/>
      </w:pPr>
      <w:r>
        <w:t xml:space="preserve">1. Introduction: The Urgent Need in New Zealand Wellington (Approx. 150 words)</w:t>
      </w:r>
    </w:p>
    <w:p>
      <w:pPr>
        <w:pStyle w:val="FirstParagraph"/>
      </w:pPr>
      <w:r>
        <w:t xml:space="preserve">New Zealand Wellington, as the nation's capital and a vibrant cultural hub, embodies both the promise and persistent challenges of equitable justice delivery. While Wellington hosts key institutions like the High Court, Crown Law Office, and numerous Māori legal entities (e.g., Te Pūkenga o te Ture), disparities in legal accessibility for Māori remain stark. Data from the Legal Services Agency (2023) indicates that Māori clients in Wellington are 2.1 times more likely to experience delays in accessing urgent legal representation compared to non-Māori clients, particularly in family law and housing disputes. The</w:t>
      </w:r>
      <w:r>
        <w:t xml:space="preserve"> </w:t>
      </w:r>
      <w:r>
        <w:rPr>
          <w:bCs/>
          <w:b/>
        </w:rPr>
        <w:t xml:space="preserve">Lawyer</w:t>
      </w:r>
      <w:r>
        <w:t xml:space="preserve"> </w:t>
      </w:r>
      <w:r>
        <w:t xml:space="preserve">operating within this</w:t>
      </w:r>
      <w:r>
        <w:t xml:space="preserve"> </w:t>
      </w:r>
      <w:r>
        <w:rPr>
          <w:bCs/>
          <w:b/>
        </w:rPr>
        <w:t xml:space="preserve">New Zealand Wellington</w:t>
      </w:r>
      <w:r>
        <w:t xml:space="preserve"> </w:t>
      </w:r>
      <w:r>
        <w:t xml:space="preserve">context faces unique pressures: navigating complex cultural protocols (kaitiakitanga, manaakitanga), understanding localized Māori governance structures (e.g., Te Whakapuaki o te Ture), and addressing historical mistrust. This</w:t>
      </w:r>
      <w:r>
        <w:t xml:space="preserve"> </w:t>
      </w:r>
      <w:r>
        <w:rPr>
          <w:bCs/>
          <w:b/>
        </w:rPr>
        <w:t xml:space="preserve">Research Proposal</w:t>
      </w:r>
      <w:r>
        <w:t xml:space="preserve"> </w:t>
      </w:r>
      <w:r>
        <w:t xml:space="preserve">directly confronts these realities, arguing that the transformative potential of the</w:t>
      </w:r>
      <w:r>
        <w:t xml:space="preserve"> </w:t>
      </w:r>
      <w:r>
        <w:rPr>
          <w:bCs/>
          <w:b/>
        </w:rPr>
        <w:t xml:space="preserve">Lawyer</w:t>
      </w:r>
      <w:r>
        <w:t xml:space="preserve"> </w:t>
      </w:r>
      <w:r>
        <w:t xml:space="preserve">in Wellington lies not merely in legal expertise but in culturally responsive practice. The focus on</w:t>
      </w:r>
      <w:r>
        <w:t xml:space="preserve"> </w:t>
      </w:r>
      <w:r>
        <w:rPr>
          <w:bCs/>
          <w:b/>
        </w:rPr>
        <w:t xml:space="preserve">New Zealand Wellington</w:t>
      </w:r>
      <w:r>
        <w:t xml:space="preserve"> </w:t>
      </w:r>
      <w:r>
        <w:t xml:space="preserve">is essential, as its specific demographic profile (high urban Māori population density), political centrality, and presence of Treaty settlements create a microcosm for national justice reform.</w:t>
      </w:r>
    </w:p>
    <w:bookmarkEnd w:id="21"/>
    <w:bookmarkStart w:id="22" w:name="research-objectives-approx.-150-words"/>
    <w:p>
      <w:pPr>
        <w:pStyle w:val="Heading2"/>
      </w:pPr>
      <w:r>
        <w:t xml:space="preserve">2. Research Objectives (Approx. 150 words)</w:t>
      </w:r>
    </w:p>
    <w:p>
      <w:pPr>
        <w:pStyle w:val="FirstParagraph"/>
      </w:pPr>
      <w:r>
        <w:t xml:space="preserve">This</w:t>
      </w:r>
      <w:r>
        <w:t xml:space="preserve"> </w:t>
      </w:r>
      <w:r>
        <w:rPr>
          <w:bCs/>
          <w:b/>
        </w:rPr>
        <w:t xml:space="preserve">Research Proposal</w:t>
      </w:r>
      <w:r>
        <w:t xml:space="preserve"> </w:t>
      </w:r>
      <w:r>
        <w:t xml:space="preserve">outlines four core objectives for investigation in the</w:t>
      </w:r>
      <w:r>
        <w:t xml:space="preserve"> </w:t>
      </w:r>
      <w:r>
        <w:rPr>
          <w:bCs/>
          <w:b/>
        </w:rPr>
        <w:t xml:space="preserve">New Zealand Wellington</w:t>
      </w:r>
      <w:r>
        <w:t xml:space="preserve"> </w:t>
      </w:r>
      <w:r>
        <w:t xml:space="preserve">setting:</w:t>
      </w:r>
    </w:p>
    <w:p>
      <w:pPr>
        <w:numPr>
          <w:ilvl w:val="0"/>
          <w:numId w:val="1001"/>
        </w:numPr>
        <w:pStyle w:val="Compact"/>
      </w:pPr>
      <w:r>
        <w:t xml:space="preserve">To identify and analyse specific cultural, linguistic, and structural barriers encountered by Māori clients when engaging with legal services within Wellington's lawyer network.</w:t>
      </w:r>
    </w:p>
    <w:p>
      <w:pPr>
        <w:numPr>
          <w:ilvl w:val="0"/>
          <w:numId w:val="1001"/>
        </w:numPr>
        <w:pStyle w:val="Compact"/>
      </w:pPr>
      <w:r>
        <w:t xml:space="preserve">To evaluate current best practices employed by progressive lawyers in Wellington who successfully integrate Te Tiriti o Waitangi principles into client engagement (e.g., marae-based consultations, kaiako-legal partnerships).</w:t>
      </w:r>
    </w:p>
    <w:p>
      <w:pPr>
        <w:numPr>
          <w:ilvl w:val="0"/>
          <w:numId w:val="1001"/>
        </w:numPr>
        <w:pStyle w:val="Compact"/>
      </w:pPr>
      <w:r>
        <w:t xml:space="preserve">To assess the impact of these culturally grounded lawyer-led approaches on client outcomes, satisfaction, and retention within Wellington's legal ecosystem.</w:t>
      </w:r>
    </w:p>
    <w:p>
      <w:pPr>
        <w:numPr>
          <w:ilvl w:val="0"/>
          <w:numId w:val="1001"/>
        </w:numPr>
        <w:pStyle w:val="Compact"/>
      </w:pPr>
      <w:r>
        <w:t xml:space="preserve">To co-create evidence-based recommendations for legal training curricula (e.g., Victoria University Wellington Law School), professional bodies (Wellington District Law Society), and service providers to embed cultural safety as a core competency for the</w:t>
      </w:r>
      <w:r>
        <w:t xml:space="preserve"> </w:t>
      </w:r>
      <w:r>
        <w:rPr>
          <w:bCs/>
          <w:b/>
        </w:rPr>
        <w:t xml:space="preserve">Lawyer</w:t>
      </w:r>
      <w:r>
        <w:t xml:space="preserve"> </w:t>
      </w:r>
      <w:r>
        <w:t xml:space="preserve">in</w:t>
      </w:r>
      <w:r>
        <w:t xml:space="preserve"> </w:t>
      </w:r>
      <w:r>
        <w:rPr>
          <w:bCs/>
          <w:b/>
        </w:rPr>
        <w:t xml:space="preserve">New Zealand Wellington</w:t>
      </w:r>
      <w:r>
        <w:t xml:space="preserve">.</w:t>
      </w:r>
    </w:p>
    <w:bookmarkEnd w:id="22"/>
    <w:bookmarkStart w:id="23" w:name="X32ba8e9f831a335acfcdada96bda907ad289276"/>
    <w:p>
      <w:pPr>
        <w:pStyle w:val="Heading2"/>
      </w:pPr>
      <w:r>
        <w:t xml:space="preserve">3. Methodology: Contextualised Research in New Zealand Wellington (Approx. 200 words)</w:t>
      </w:r>
    </w:p>
    <w:p>
      <w:pPr>
        <w:pStyle w:val="FirstParagraph"/>
      </w:pPr>
      <w:r>
        <w:t xml:space="preserve">This study adopts a mixed-methods, decolonising approach grounded in the specific realities of</w:t>
      </w:r>
      <w:r>
        <w:t xml:space="preserve"> </w:t>
      </w:r>
      <w:r>
        <w:rPr>
          <w:bCs/>
          <w:b/>
        </w:rPr>
        <w:t xml:space="preserve">New Zealand Wellington</w:t>
      </w:r>
      <w:r>
        <w:t xml:space="preserve">. Quantitative data will be drawn from anonymised case logs at Legal Aid New Zealand offices across Wellington (e.g., Civic, Thorndon, Te Aro) to identify accessibility patterns. The primary methodology is qualitative: semi-structured interviews with 35 practising</w:t>
      </w:r>
      <w:r>
        <w:t xml:space="preserve"> </w:t>
      </w:r>
      <w:r>
        <w:rPr>
          <w:bCs/>
          <w:b/>
        </w:rPr>
        <w:t xml:space="preserve">Lawyer</w:t>
      </w:r>
      <w:r>
        <w:t xml:space="preserve">s in Wellington (including solicitors, barristers, and Crown Law representatives), stratified by experience and practice type; 20 Māori community leaders and kaumātua from Wellington iwi (e.g., Ngāti Raukawa, Te Āti Awa) and urban Māori associations; and focus groups with recent legal aid clients. All research protocols will adhere to the New Zealand Health Research Ethics Committee guidelines, prioritising tikanga Māori consent processes (whakapuaki tautoko). Analysis will employ thematic analysis within a kaupapa Māori framework, ensuring findings directly reflect</w:t>
      </w:r>
      <w:r>
        <w:t xml:space="preserve"> </w:t>
      </w:r>
      <w:r>
        <w:rPr>
          <w:bCs/>
          <w:b/>
        </w:rPr>
        <w:t xml:space="preserve">New Zealand Wellington</w:t>
      </w:r>
      <w:r>
        <w:t xml:space="preserve"> </w:t>
      </w:r>
      <w:r>
        <w:t xml:space="preserve">community perspectives. The choice of</w:t>
      </w:r>
      <w:r>
        <w:t xml:space="preserve"> </w:t>
      </w:r>
      <w:r>
        <w:rPr>
          <w:bCs/>
          <w:b/>
        </w:rPr>
        <w:t xml:space="preserve">New Zealand Wellington</w:t>
      </w:r>
      <w:r>
        <w:t xml:space="preserve"> </w:t>
      </w:r>
      <w:r>
        <w:t xml:space="preserve">as the sole research site is deliberate – it allows for deep contextual understanding impossible in a broader national study, capturing the nuances of legal practice within this specific socio-political and cultural milieu.</w:t>
      </w:r>
    </w:p>
    <w:bookmarkEnd w:id="23"/>
    <w:bookmarkStart w:id="24" w:name="X4bf51f0063f5b37acc43475b2f2c41486d5c7fe"/>
    <w:p>
      <w:pPr>
        <w:pStyle w:val="Heading2"/>
      </w:pPr>
      <w:r>
        <w:t xml:space="preserve">4. Significance and Expected Outcomes (Approx. 150 words)</w:t>
      </w:r>
    </w:p>
    <w:p>
      <w:pPr>
        <w:pStyle w:val="FirstParagraph"/>
      </w:pPr>
      <w:r>
        <w:t xml:space="preserve">This</w:t>
      </w:r>
      <w:r>
        <w:t xml:space="preserve"> </w:t>
      </w:r>
      <w:r>
        <w:rPr>
          <w:bCs/>
          <w:b/>
        </w:rPr>
        <w:t xml:space="preserve">Research Proposal</w:t>
      </w:r>
      <w:r>
        <w:t xml:space="preserve"> </w:t>
      </w:r>
      <w:r>
        <w:t xml:space="preserve">holds significant potential for tangible impact in</w:t>
      </w:r>
      <w:r>
        <w:t xml:space="preserve"> </w:t>
      </w:r>
      <w:r>
        <w:rPr>
          <w:bCs/>
          <w:b/>
        </w:rPr>
        <w:t xml:space="preserve">New Zealand Wellington</w:t>
      </w:r>
      <w:r>
        <w:t xml:space="preserve">. By centering the role of the</w:t>
      </w:r>
      <w:r>
        <w:t xml:space="preserve"> </w:t>
      </w:r>
      <w:r>
        <w:rPr>
          <w:bCs/>
          <w:b/>
        </w:rPr>
        <w:t xml:space="preserve">Lawyer</w:t>
      </w:r>
      <w:r>
        <w:t xml:space="preserve">, it moves beyond blaming systemic failures to empower practitioners with actionable, culturally validated strategies. Expected outcomes include: (1) A practical 'Culturally Safe Practice Guide' for lawyers operating within Wellington, endorsed by the Wellington District Law Society; (2) Policy briefs for the Ministry of Justice and Legal Services Agency on integrating cultural competency into legal aid funding models; (3) Enhanced curriculum content proposals for law schools in</w:t>
      </w:r>
      <w:r>
        <w:t xml:space="preserve"> </w:t>
      </w:r>
      <w:r>
        <w:rPr>
          <w:bCs/>
          <w:b/>
        </w:rPr>
        <w:t xml:space="preserve">New Zealand</w:t>
      </w:r>
      <w:r>
        <w:t xml:space="preserve">, specifically tailored to the</w:t>
      </w:r>
      <w:r>
        <w:t xml:space="preserve"> </w:t>
      </w:r>
      <w:r>
        <w:rPr>
          <w:bCs/>
          <w:b/>
        </w:rPr>
        <w:t xml:space="preserve">New Zealand Wellington</w:t>
      </w:r>
      <w:r>
        <w:t xml:space="preserve"> </w:t>
      </w:r>
      <w:r>
        <w:t xml:space="preserve">context. Crucially, this research addresses a national priority – improving Māori access to justice as outlined in the Justice 2050 strategy – but delivers localized solutions uniquely applicable to the capital city's dynamic legal environment. The findings will position Wellington as a model for equitable legal service delivery across</w:t>
      </w:r>
      <w:r>
        <w:t xml:space="preserve"> </w:t>
      </w:r>
      <w:r>
        <w:rPr>
          <w:bCs/>
          <w:b/>
        </w:rPr>
        <w:t xml:space="preserve">New Zealand</w:t>
      </w:r>
      <w:r>
        <w:t xml:space="preserve">, demonstrating how the empowered</w:t>
      </w:r>
      <w:r>
        <w:t xml:space="preserve"> </w:t>
      </w:r>
      <w:r>
        <w:rPr>
          <w:bCs/>
          <w:b/>
        </w:rPr>
        <w:t xml:space="preserve">Lawyer</w:t>
      </w:r>
      <w:r>
        <w:t xml:space="preserve"> </w:t>
      </w:r>
      <w:r>
        <w:t xml:space="preserve">can be pivotal in realizing Te Tiriti o Waitangi's promise within the heart of Aotearoa.</w:t>
      </w:r>
    </w:p>
    <w:bookmarkEnd w:id="24"/>
    <w:bookmarkStart w:id="25" w:name="X58311e679727518b4cc4f72b0f5bee106221cc0"/>
    <w:p>
      <w:pPr>
        <w:pStyle w:val="Heading2"/>
      </w:pPr>
      <w:r>
        <w:t xml:space="preserve">5. Conclusion: A Call for Lawyer-Led Change in Wellington (Approx. 100 words)</w:t>
      </w:r>
    </w:p>
    <w:p>
      <w:pPr>
        <w:pStyle w:val="FirstParagraph"/>
      </w:pPr>
      <w:r>
        <w:t xml:space="preserve">The legal landscape of</w:t>
      </w:r>
      <w:r>
        <w:t xml:space="preserve"> </w:t>
      </w:r>
      <w:r>
        <w:rPr>
          <w:bCs/>
          <w:b/>
        </w:rPr>
        <w:t xml:space="preserve">New Zealand Wellington</w:t>
      </w:r>
      <w:r>
        <w:t xml:space="preserve"> </w:t>
      </w:r>
      <w:r>
        <w:t xml:space="preserve">demands innovation beyond traditional practice models. This</w:t>
      </w:r>
      <w:r>
        <w:t xml:space="preserve"> </w:t>
      </w:r>
      <w:r>
        <w:rPr>
          <w:bCs/>
          <w:b/>
        </w:rPr>
        <w:t xml:space="preserve">Research Proposal</w:t>
      </w:r>
      <w:r>
        <w:t xml:space="preserve"> </w:t>
      </w:r>
      <w:r>
        <w:t xml:space="preserve">asserts that the path to meaningful justice equity lies in reimagining the role of the</w:t>
      </w:r>
      <w:r>
        <w:t xml:space="preserve"> </w:t>
      </w:r>
      <w:r>
        <w:rPr>
          <w:bCs/>
          <w:b/>
        </w:rPr>
        <w:t xml:space="preserve">Lawyer</w:t>
      </w:r>
      <w:r>
        <w:t xml:space="preserve">. By conducting this essential study within the specific context of Wellington – a city where Māori leadership, Treaty settlements, and urban diversity converge – we can generate robust evidence to transform legal service delivery. The insights gained will not only benefit Wellington's 200,000+ Māori residents but will provide a replicable framework for</w:t>
      </w:r>
      <w:r>
        <w:t xml:space="preserve"> </w:t>
      </w:r>
      <w:r>
        <w:rPr>
          <w:bCs/>
          <w:b/>
        </w:rPr>
        <w:t xml:space="preserve">New Zealand</w:t>
      </w:r>
      <w:r>
        <w:t xml:space="preserve"> </w:t>
      </w:r>
      <w:r>
        <w:t xml:space="preserve">legal practice nationwide. Investing in understanding how the</w:t>
      </w:r>
      <w:r>
        <w:t xml:space="preserve"> </w:t>
      </w:r>
      <w:r>
        <w:rPr>
          <w:bCs/>
          <w:b/>
        </w:rPr>
        <w:t xml:space="preserve">Lawyer</w:t>
      </w:r>
      <w:r>
        <w:t xml:space="preserve"> </w:t>
      </w:r>
      <w:r>
        <w:t xml:space="preserve">can effectively serve Māori communities is an investment in a more just and truly bicultural society. This research is not merely academic; it is a necessary step towards fulfilling our collective commitment to justice within the heart of</w:t>
      </w:r>
      <w:r>
        <w:t xml:space="preserve"> </w:t>
      </w:r>
      <w:r>
        <w:rPr>
          <w:bCs/>
          <w:b/>
        </w:rPr>
        <w:t xml:space="preserve">New Zealand Wellington</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Legal Accessibility for Māori Communities through Lawyer-Led Initiatives in New Zealand Wellington</dc:title>
  <dc:creator/>
  <dc:language>en</dc:language>
  <cp:keywords/>
  <dcterms:created xsi:type="dcterms:W3CDTF">2026-07-24T16:01:55Z</dcterms:created>
  <dcterms:modified xsi:type="dcterms:W3CDTF">2026-07-24T16:01:55Z</dcterms:modified>
</cp:coreProperties>
</file>

<file path=docProps/custom.xml><?xml version="1.0" encoding="utf-8"?>
<Properties xmlns="http://schemas.openxmlformats.org/officeDocument/2006/custom-properties" xmlns:vt="http://schemas.openxmlformats.org/officeDocument/2006/docPropsVTypes"/>
</file>