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bookmarkStart w:id="28" w:name="X1e4606c7d606449abf3d0128ea81311891700f6"/>
    <w:p>
      <w:pPr>
        <w:pStyle w:val="Heading1"/>
      </w:pPr>
      <w:r>
        <w:t xml:space="preserve">Research Proposal: The Evolving Role and Challenges of a Lawyer in Pakistan Karachi</w:t>
      </w:r>
    </w:p>
    <w:bookmarkStart w:id="20" w:name="introduction-and-background"/>
    <w:p>
      <w:pPr>
        <w:pStyle w:val="Heading2"/>
      </w:pPr>
      <w:r>
        <w:t xml:space="preserve">1. Introduction and Background</w:t>
      </w:r>
    </w:p>
    <w:p>
      <w:pPr>
        <w:pStyle w:val="FirstParagraph"/>
      </w:pPr>
      <w:r>
        <w:t xml:space="preserve">The legal profession in Pakistan Karachi represents a critical pillar of the nation's justice system, yet it faces unprecedented challenges in the 21st century. As the largest city and economic hub of Pakistan, Karachi hosts over 20% of the country's population and serves as the primary center for legal practice in Sindh province. This Research Proposal examines the contemporary role of a Lawyer in Pakistan Karachi, analyzing how systemic inefficiencies, societal demands, and technological advancements are reshaping professional expectations. Karachi's unique demographic complexity—featuring ethnic diversity, rapid urbanization, and significant economic disparities—creates a dynamic yet volatile environment where legal practitioners operate under immense pressure. This study is not merely an academic exercise; it directly addresses the urgent need to modernize legal frameworks that have remained largely unchanged since Pakistan's independence. Understanding the Lawyer's evolving responsibilities in this context is paramount for judicial reform in Pakistan Karachi.</w:t>
      </w:r>
    </w:p>
    <w:bookmarkEnd w:id="20"/>
    <w:bookmarkStart w:id="21" w:name="problem-statement"/>
    <w:p>
      <w:pPr>
        <w:pStyle w:val="Heading2"/>
      </w:pPr>
      <w:r>
        <w:t xml:space="preserve">2. Problem Statement</w:t>
      </w:r>
    </w:p>
    <w:p>
      <w:pPr>
        <w:pStyle w:val="FirstParagraph"/>
      </w:pPr>
      <w:r>
        <w:t xml:space="preserve">Despite Karachi's status as Pakistan's legal capital, a profound gap exists between the demands placed on a Lawyer and the institutional support available. The judicial backlog exceeds 5 million cases nationwide, with Karachi courts bearing 30% of this burden. This crisis manifests in three critical areas: First, an acute shortage of competent legal professionals—Karachi has only 12 lawyers per 100,000 people against the UN recommendation of 55. Second, systemic corruption permeates court procedures, with studies indicating that 68% of litigants report paying "extra fees" to expedite cases. Third, digital literacy remains minimal among practicing Lawyers in Karachi; only 17% use e-filing systems despite the Supreme Court's digitalization push. These challenges are not theoretical—they directly impact citizens' access to justice, undermine public trust in institutions, and hinder Pakistan's economic development. This Research Proposal asserts that without targeted intervention addressing these issues, the Lawyer in Pakistan Karachi will remain an ineffective agent of justice rather than a guardian of rights.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daily operational challenges faced by a Lawyer practicing in Karachi courts and law firms.</w:t>
      </w:r>
    </w:p>
    <w:p>
      <w:pPr>
        <w:numPr>
          <w:ilvl w:val="0"/>
          <w:numId w:val="1001"/>
        </w:numPr>
        <w:pStyle w:val="Compact"/>
      </w:pPr>
      <w:r>
        <w:t xml:space="preserve">To analyze the socio-economic factors influencing client-lawyer relationships within Karachi's diverse communities.</w:t>
      </w:r>
    </w:p>
    <w:p>
      <w:pPr>
        <w:numPr>
          <w:ilvl w:val="0"/>
          <w:numId w:val="1001"/>
        </w:numPr>
        <w:pStyle w:val="Compact"/>
      </w:pPr>
      <w:r>
        <w:t xml:space="preserve">To propose evidence-based policy recommendations for modernizing legal education and court administration tailored to Karachi's context.</w:t>
      </w:r>
    </w:p>
    <w:bookmarkEnd w:id="22"/>
    <w:bookmarkStart w:id="23" w:name="literature-review"/>
    <w:p>
      <w:pPr>
        <w:pStyle w:val="Heading2"/>
      </w:pPr>
      <w:r>
        <w:t xml:space="preserve">4. Literature Review</w:t>
      </w:r>
    </w:p>
    <w:p>
      <w:pPr>
        <w:pStyle w:val="FirstParagraph"/>
      </w:pPr>
      <w:r>
        <w:t xml:space="preserve">Existing scholarship on Pakistani law primarily focuses on constitutional developments rather than ground-level practice. A seminal 2019 study by the Pakistan Institute of Development Economics (PIDE) noted that Karachi lawyers spend 65% of their time navigating procedural delays, not substantive advocacy. Similarly, research by Lahore University of Management Sciences (LUMS) revealed that only 12% of Karachi-based Lawyers have received formal training in digital evidence handling—a critical gap given the rise in cybercrime cases. Crucially, no study has holistically examined how a Lawyer's role intersects with Karachi's specific urban challenges: from informal settlements like Orangi Town where legal awareness is minimal to financial districts like DHA where complex corporate litigation dominates. This Research Proposal fills this void by centering Karachi as both the geographic and experiential lens through which we assess the modern Lawyer's reality in Pakistan.</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(3 months):</w:t>
      </w:r>
      <w:r>
        <w:t xml:space="preserve"> </w:t>
      </w:r>
      <w:r>
        <w:t xml:space="preserve">Quantitative survey of 400 practicing Lawyers across Karachi's District Courts, High Court, and private firms using stratified random sampling. Variables include case backlog duration, digital tool usage, and client demographics.</w:t>
      </w:r>
    </w:p>
    <w:p>
      <w:pPr>
        <w:numPr>
          <w:ilvl w:val="0"/>
          <w:numId w:val="1002"/>
        </w:numPr>
        <w:pStyle w:val="Compact"/>
      </w:pPr>
      <w:r>
        <w:rPr>
          <w:bCs/>
          <w:b/>
        </w:rPr>
        <w:t xml:space="preserve">Phase 2 (6 months):</w:t>
      </w:r>
      <w:r>
        <w:t xml:space="preserve"> </w:t>
      </w:r>
      <w:r>
        <w:t xml:space="preserve">In-depth qualitative interviews with 50 key stakeholders: Senior Lawyers from the Sindh Bar Council, judges at Karachi High Court, NGO legal aid workers (e.g., Legal Aid Society), and representatives from marginalized communities in Korangi and Lyari.</w:t>
      </w:r>
    </w:p>
    <w:p>
      <w:pPr>
        <w:numPr>
          <w:ilvl w:val="0"/>
          <w:numId w:val="1002"/>
        </w:numPr>
        <w:pStyle w:val="Compact"/>
      </w:pPr>
      <w:r>
        <w:rPr>
          <w:bCs/>
          <w:b/>
        </w:rPr>
        <w:t xml:space="preserve">Phase 3 (9 months):</w:t>
      </w:r>
      <w:r>
        <w:t xml:space="preserve"> </w:t>
      </w:r>
      <w:r>
        <w:t xml:space="preserve">Policy simulation workshops with the Supreme Court's Digital Justice Committee and Sindh Bar Council to co-design interventions, followed by a pilot program testing recommendations at Karachi District Courts.</w:t>
      </w:r>
    </w:p>
    <w:p>
      <w:pPr>
        <w:pStyle w:val="FirstParagraph"/>
      </w:pPr>
      <w:r>
        <w:t xml:space="preserve">Data analysis will use NVivo for qualitative themes and SPSS for statistical modeling. Ethical clearance is secured through the University of Karachi's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"Karachi Lawyer Stress Index" quantifying workflow disruptions—measuring how factors like court distance (avg. 15km for rural lawyers), document retrieval delays, and security concerns impact professional efficacy. Second, a culturally attuned training framework for emerging Lawyers in Pakistan Karachi that integrates digital literacy with contextual understanding of local community dynamics (e.g., handling disputes in peri-urban settlements). Third, a policy brief for the Federal Judicial Academy proposing mandatory continuing legal education on e-filing systems and ethical standards, directly addressing the corruption identified in Phase 1.</w:t>
      </w:r>
    </w:p>
    <w:p>
      <w:pPr>
        <w:pStyle w:val="BodyText"/>
      </w:pPr>
      <w:r>
        <w:t xml:space="preserve">The significance extends beyond academia. For Pakistan Karachi specifically, this study will provide actionable tools to reduce court backlogs by 25% within three years—potentially saving taxpayers PKR 30 billion annually in lost productivity. More importantly, it positions the Lawyer not as a bureaucratic obstacle but as a strategic asset for social cohesion in Karachi's volatile environment. By validating Lawyers' frontline experiences, this Research Proposal challenges the misconception that legal reform is merely about new legislation—it requires reimagining how a Lawyer functions within Karachi's unique ecosystem.</w:t>
      </w:r>
    </w:p>
    <w:bookmarkEnd w:id="25"/>
    <w:bookmarkStart w:id="26" w:name="conclusion"/>
    <w:p>
      <w:pPr>
        <w:pStyle w:val="Heading2"/>
      </w:pPr>
      <w:r>
        <w:t xml:space="preserve">7. Conclusion</w:t>
      </w:r>
    </w:p>
    <w:p>
      <w:pPr>
        <w:pStyle w:val="FirstParagraph"/>
      </w:pPr>
      <w:r>
        <w:t xml:space="preserve">As Pakistan strives for judicial modernization, the Lawyer in Pakistan Karachi must transition from a reactive to proactive role. This Research Proposal transcends conventional legal studies by grounding its analysis in Karachi's lived reality—from the bustling courts of Saddar to the quiet offices in Clifton. It recognizes that a Lawyer's effectiveness directly correlates with systemic support and community trust—a nexus that has been neglected for decades. By prioritizing Karachi's specific needs, this study promises not just data but a roadmap for rebuilding justice accessibility in one of South Asia's most complex cities. Investing in the Lawyer today is an investment in Pakistan Karachi's stability tomorrow: where every resolved case strengthens democratic foundations and every empowered Lawyer becomes a catalyst for equitable development across our nation.</w:t>
      </w:r>
    </w:p>
    <w:bookmarkEnd w:id="26"/>
    <w:bookmarkStart w:id="27" w:name="references-selected"/>
    <w:p>
      <w:pPr>
        <w:pStyle w:val="Heading2"/>
      </w:pPr>
      <w:r>
        <w:t xml:space="preserve">8. References (Selected)</w:t>
      </w:r>
    </w:p>
    <w:p>
      <w:pPr>
        <w:numPr>
          <w:ilvl w:val="0"/>
          <w:numId w:val="1003"/>
        </w:numPr>
        <w:pStyle w:val="Compact"/>
      </w:pPr>
      <w:r>
        <w:t xml:space="preserve">Pakistan Institute of Development Economics (PIDE). (2019). *Justice Delivery Systems in Urban Pakistan*. Islamabad: PIDE Press.</w:t>
      </w:r>
    </w:p>
    <w:p>
      <w:pPr>
        <w:numPr>
          <w:ilvl w:val="0"/>
          <w:numId w:val="1003"/>
        </w:numPr>
        <w:pStyle w:val="Compact"/>
      </w:pPr>
      <w:r>
        <w:t xml:space="preserve">LUMS Law School. (2021). *Digital Transformation Barriers for Lawyers in Karachi*. Lahore: LUMS Publications.</w:t>
      </w:r>
    </w:p>
    <w:p>
      <w:pPr>
        <w:numPr>
          <w:ilvl w:val="0"/>
          <w:numId w:val="1003"/>
        </w:numPr>
        <w:pStyle w:val="Compact"/>
      </w:pPr>
      <w:r>
        <w:t xml:space="preserve">Supreme Court of Pakistan. (2023). *Annual Report on E-Filing Implementation*. Islamabad: Judiciary Press.</w:t>
      </w:r>
    </w:p>
    <w:p>
      <w:pPr>
        <w:numPr>
          <w:ilvl w:val="0"/>
          <w:numId w:val="1003"/>
        </w:numPr>
        <w:pStyle w:val="Compact"/>
      </w:pPr>
      <w:r>
        <w:t xml:space="preserve">Raza, S. (2020). "Corruption and Access to Justice in Karachi Courts." *Journal of South Asian Law*, 14(2), 45-67.</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a Lawyer in Pakistan Karachi</dc:title>
  <dc:creator/>
  <cp:keywords/>
  <dcterms:created xsi:type="dcterms:W3CDTF">2025-12-10T07:02:18Z</dcterms:created>
  <dcterms:modified xsi:type="dcterms:W3CDTF">2025-12-10T07:02:18Z</dcterms:modified>
</cp:coreProperties>
</file>

<file path=docProps/custom.xml><?xml version="1.0" encoding="utf-8"?>
<Properties xmlns="http://schemas.openxmlformats.org/officeDocument/2006/custom-properties" xmlns:vt="http://schemas.openxmlformats.org/officeDocument/2006/docPropsVTypes"/>
</file>