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0ea553156e9be0fde4d6490e019396a33870b60"/>
    <w:p>
      <w:pPr>
        <w:pStyle w:val="Heading1"/>
      </w:pPr>
      <w:r>
        <w:t xml:space="preserve">Research Proposal: The Evolving Role of the Lawyer in Saudi Arabia Riyadh Amidst Legal Transformation</w:t>
      </w:r>
    </w:p>
    <w:bookmarkStart w:id="20" w:name="introduction-and-background"/>
    <w:p>
      <w:pPr>
        <w:pStyle w:val="Heading2"/>
      </w:pPr>
      <w:r>
        <w:t xml:space="preserve">1. Introduction and Background</w:t>
      </w:r>
    </w:p>
    <w:p>
      <w:pPr>
        <w:pStyle w:val="FirstParagraph"/>
      </w:pPr>
      <w:r>
        <w:t xml:space="preserve">The legal landscape of</w:t>
      </w:r>
      <w:r>
        <w:t xml:space="preserve"> </w:t>
      </w:r>
      <w:r>
        <w:rPr>
          <w:bCs/>
          <w:b/>
        </w:rPr>
        <w:t xml:space="preserve">Saudi Arabia Riyadh</w:t>
      </w:r>
      <w:r>
        <w:t xml:space="preserve"> </w:t>
      </w:r>
      <w:r>
        <w:t xml:space="preserve">is undergoing profound transformation, driven by the ambitious Vision 2030 reforms. As the capital city and economic nerve center of the Kingdom, Riyadh serves as the epicenter for these critical changes in governance, commerce, and jurisprudence. Central to this evolution is the professional role of the</w:t>
      </w:r>
      <w:r>
        <w:t xml:space="preserve"> </w:t>
      </w:r>
      <w:r>
        <w:rPr>
          <w:bCs/>
          <w:b/>
        </w:rPr>
        <w:t xml:space="preserve">Lawyer</w:t>
      </w:r>
      <w:r>
        <w:t xml:space="preserve">, whose functions are rapidly expanding beyond traditional dispute resolution into advisory, transactional, and regulatory compliance domains. This</w:t>
      </w:r>
      <w:r>
        <w:t xml:space="preserve"> </w:t>
      </w:r>
      <w:r>
        <w:rPr>
          <w:bCs/>
          <w:b/>
        </w:rPr>
        <w:t xml:space="preserve">Research Proposal</w:t>
      </w:r>
      <w:r>
        <w:t xml:space="preserve"> </w:t>
      </w:r>
      <w:r>
        <w:t xml:space="preserve">aims to comprehensively investigate how the professional identity, operational challenges, ethical frameworks, and strategic value of the</w:t>
      </w:r>
      <w:r>
        <w:t xml:space="preserve"> </w:t>
      </w:r>
      <w:r>
        <w:rPr>
          <w:bCs/>
          <w:b/>
        </w:rPr>
        <w:t xml:space="preserve">Lawyer</w:t>
      </w:r>
      <w:r>
        <w:t xml:space="preserve"> </w:t>
      </w:r>
      <w:r>
        <w:t xml:space="preserve">are being redefined within the specific socio-legal ecosystem of</w:t>
      </w:r>
      <w:r>
        <w:t xml:space="preserve"> </w:t>
      </w:r>
      <w:r>
        <w:rPr>
          <w:bCs/>
          <w:b/>
        </w:rPr>
        <w:t xml:space="preserve">Saudi Arabia Riyadh</w:t>
      </w:r>
      <w:r>
        <w:t xml:space="preserve">. Understanding this evolution is not merely academic; it is crucial for policy formulation, professional development initiatives, and enhancing Saudi Arabia's position as a global investment destination. The urgency is amplified by recent legislative milestones like the 2023 Saudi Legal Reform Act and the establishment of specialized courts within Riyadh's Judicial District.</w:t>
      </w:r>
    </w:p>
    <w:bookmarkEnd w:id="20"/>
    <w:bookmarkStart w:id="21" w:name="problem-statement"/>
    <w:p>
      <w:pPr>
        <w:pStyle w:val="Heading2"/>
      </w:pPr>
      <w:r>
        <w:t xml:space="preserve">2. Problem Statement</w:t>
      </w:r>
    </w:p>
    <w:p>
      <w:pPr>
        <w:pStyle w:val="FirstParagraph"/>
      </w:pPr>
      <w:r>
        <w:t xml:space="preserve">While significant literature exists on broader legal reforms in</w:t>
      </w:r>
      <w:r>
        <w:t xml:space="preserve"> </w:t>
      </w:r>
      <w:r>
        <w:rPr>
          <w:bCs/>
          <w:b/>
        </w:rPr>
        <w:t xml:space="preserve">Saudi Arabia</w:t>
      </w:r>
      <w:r>
        <w:t xml:space="preserve">, a critical gap persists regarding the nuanced, on-the-ground experience of practicing</w:t>
      </w:r>
      <w:r>
        <w:t xml:space="preserve"> </w:t>
      </w:r>
      <w:r>
        <w:rPr>
          <w:bCs/>
          <w:b/>
        </w:rPr>
        <w:t xml:space="preserve">Lawyer</w:t>
      </w:r>
      <w:r>
        <w:t xml:space="preserve">s specifically within the dynamic context of Riyadh. Existing studies often generalize across the Kingdom or focus narrowly on specific sectors (e.g., oil &amp; gas) without capturing the city's unique confluence of traditional Sharia principles, modern commercial law, international arbitration practices, and rapid infrastructural development. This lack of granular understanding hinders effective support for legal professionals navigating this complex transition. Key questions remain unaddressed: How are Riyadh-based</w:t>
      </w:r>
      <w:r>
        <w:t xml:space="preserve"> </w:t>
      </w:r>
      <w:r>
        <w:rPr>
          <w:bCs/>
          <w:b/>
        </w:rPr>
        <w:t xml:space="preserve">Lawyer</w:t>
      </w:r>
      <w:r>
        <w:t xml:space="preserve">s adapting their skill sets to meet new demands from foreign investors and domestic businesses? What are the most pressing ethical dilemmas they encounter in a rapidly evolving system? How does the city's specific regulatory environment (e.g., Riyadh Commercial Court, Riyad Judicial District) shape their daily practice compared to other cities like Jeddah or Dammam? This</w:t>
      </w:r>
      <w:r>
        <w:t xml:space="preserve"> </w:t>
      </w:r>
      <w:r>
        <w:rPr>
          <w:bCs/>
          <w:b/>
        </w:rPr>
        <w:t xml:space="preserve">Research Proposal</w:t>
      </w:r>
      <w:r>
        <w:t xml:space="preserve"> </w:t>
      </w:r>
      <w:r>
        <w:t xml:space="preserve">directly addresses these critical knowledge gaps.</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 within the Riyadh context:</w:t>
      </w:r>
    </w:p>
    <w:p>
      <w:pPr>
        <w:numPr>
          <w:ilvl w:val="0"/>
          <w:numId w:val="1001"/>
        </w:numPr>
        <w:pStyle w:val="Compact"/>
      </w:pPr>
      <w:r>
        <w:t xml:space="preserve">To map and analyze the evolving professional scope of practice for licensed lawyers operating in Riyadh, identifying key new service areas emerging due to Vision 2030.</w:t>
      </w:r>
    </w:p>
    <w:p>
      <w:pPr>
        <w:numPr>
          <w:ilvl w:val="0"/>
          <w:numId w:val="1001"/>
        </w:numPr>
        <w:pStyle w:val="Compact"/>
      </w:pPr>
      <w:r>
        <w:t xml:space="preserve">To assess the perceived challenges (regulatory, ethical, skill-based) faced by Riyadh-based lawyers in adapting to the Kingdom's legal modernization efforts.</w:t>
      </w:r>
    </w:p>
    <w:p>
      <w:pPr>
        <w:numPr>
          <w:ilvl w:val="0"/>
          <w:numId w:val="1001"/>
        </w:numPr>
        <w:pStyle w:val="Compact"/>
      </w:pPr>
      <w:r>
        <w:t xml:space="preserve">To evaluate the effectiveness of current professional development frameworks and support structures for lawyers within Riyadh's legal ecosystem (e.g., Saudi Bar Association initiatives).</w:t>
      </w:r>
    </w:p>
    <w:p>
      <w:pPr>
        <w:numPr>
          <w:ilvl w:val="0"/>
          <w:numId w:val="1001"/>
        </w:numPr>
        <w:pStyle w:val="Compact"/>
      </w:pPr>
      <w:r>
        <w:t xml:space="preserve">To identify best practices and successful adaptation strategies employed by leading law firms and individual practitioners in Riyadh.</w:t>
      </w:r>
    </w:p>
    <w:p>
      <w:pPr>
        <w:numPr>
          <w:ilvl w:val="0"/>
          <w:numId w:val="1001"/>
        </w:numPr>
        <w:pStyle w:val="Compact"/>
      </w:pPr>
      <w:r>
        <w:t xml:space="preserve">To provide evidence-based recommendations for policymakers (Ministry of Justice, Ministry of Commerce), professional bodies, and law firms to optimize the contribution of the Lawyer to Riyadh's development as a regional legal hub.</w:t>
      </w:r>
    </w:p>
    <w:bookmarkEnd w:id="22"/>
    <w:bookmarkStart w:id="23" w:name="literature-review-key-gaps-identified"/>
    <w:p>
      <w:pPr>
        <w:pStyle w:val="Heading2"/>
      </w:pPr>
      <w:r>
        <w:t xml:space="preserve">4. Literature Review (Key Gaps Identified)</w:t>
      </w:r>
    </w:p>
    <w:p>
      <w:pPr>
        <w:pStyle w:val="FirstParagraph"/>
      </w:pPr>
      <w:r>
        <w:t xml:space="preserve">Existing scholarship on Saudi legal reform predominantly focuses on legislative changes (e.g., arbitration laws, corporate governance) or macro-level economic impacts. Studies by Al-Johani (2021) and Al-Suwaij (2023) provide valuable overviews but lack granular focus on the lawyer's daily reality in Riyadh. Research by Abdullah &amp; Khan (2022) touches on legal ethics but is based on outdated frameworks not reflecting post-2018 reforms. Crucially, no current research offers a comprehensive, empirical study specifically centered *on Riyadh* as the crucible of this transformation. This</w:t>
      </w:r>
      <w:r>
        <w:t xml:space="preserve"> </w:t>
      </w:r>
      <w:r>
        <w:rPr>
          <w:bCs/>
          <w:b/>
        </w:rPr>
        <w:t xml:space="preserve">Research Proposal</w:t>
      </w:r>
      <w:r>
        <w:t xml:space="preserve"> </w:t>
      </w:r>
      <w:r>
        <w:t xml:space="preserve">fills that void by grounding the analysis in the unique institutional and cultural environment of</w:t>
      </w:r>
      <w:r>
        <w:t xml:space="preserve"> </w:t>
      </w:r>
      <w:r>
        <w:rPr>
          <w:bCs/>
          <w:b/>
        </w:rPr>
        <w:t xml:space="preserve">Saudi Arabia Riyadh</w:t>
      </w:r>
      <w:r>
        <w:t xml:space="preserve">, moving beyond theoretical discussion to capture lived experience.</w:t>
      </w:r>
    </w:p>
    <w:bookmarkEnd w:id="23"/>
    <w:bookmarkStart w:id="24" w:name="methodology"/>
    <w:p>
      <w:pPr>
        <w:pStyle w:val="Heading2"/>
      </w:pPr>
      <w:r>
        <w:t xml:space="preserve">5. Methodology</w:t>
      </w:r>
    </w:p>
    <w:p>
      <w:pPr>
        <w:pStyle w:val="FirstParagraph"/>
      </w:pPr>
      <w:r>
        <w:t xml:space="preserve">This mixed-methods study will employ a sequential design for robust triangulation:</w:t>
      </w:r>
    </w:p>
    <w:p>
      <w:pPr>
        <w:numPr>
          <w:ilvl w:val="0"/>
          <w:numId w:val="1002"/>
        </w:numPr>
        <w:pStyle w:val="Compact"/>
      </w:pPr>
      <w:r>
        <w:rPr>
          <w:bCs/>
          <w:b/>
        </w:rPr>
        <w:t xml:space="preserve">Phase 1: Document Analysis &amp; Quantitative Survey (3 months)</w:t>
      </w:r>
      <w:r>
        <w:t xml:space="preserve">: Analyze recent judicial decrees, Ministry of Justice circulars, and Riyadh-specific legal service data. Distribute an online survey (target N=200) to licensed lawyers registered with the Riyadh Bar Association, measuring aspects like practice scope shifts, perceived challenges (Likert scales), and professional development needs.</w:t>
      </w:r>
    </w:p>
    <w:p>
      <w:pPr>
        <w:numPr>
          <w:ilvl w:val="0"/>
          <w:numId w:val="1002"/>
        </w:numPr>
        <w:pStyle w:val="Compact"/>
      </w:pPr>
      <w:r>
        <w:rPr>
          <w:bCs/>
          <w:b/>
        </w:rPr>
        <w:t xml:space="preserve">Phase 2: Qualitative In-depth Interviews &amp; Focus Groups (4 months)</w:t>
      </w:r>
      <w:r>
        <w:t xml:space="preserve">: Conduct semi-structured interviews (N=30) with diverse Riyadh-based lawyers (in-house counsel, private practitioners, firm partners, junior associates). Organize two focus groups (15 participants each) to explore ethical dilemmas and adaptation strategies within the Riyadh context. All data will be analyzed using thematic analysis software.</w:t>
      </w:r>
    </w:p>
    <w:p>
      <w:pPr>
        <w:numPr>
          <w:ilvl w:val="0"/>
          <w:numId w:val="1002"/>
        </w:numPr>
        <w:pStyle w:val="Compact"/>
      </w:pPr>
      <w:r>
        <w:rPr>
          <w:bCs/>
          <w:b/>
        </w:rPr>
        <w:t xml:space="preserve">Phase 3: Comparative Policy Analysis &amp; Synthesis (2 months)</w:t>
      </w:r>
      <w:r>
        <w:t xml:space="preserve">: Compare findings with international legal hubs (e.g., Dubai, Singapore) to identify transferable insights relevant to Riyadh's trajectory as a growing legal services center within</w:t>
      </w:r>
      <w:r>
        <w:t xml:space="preserve"> </w:t>
      </w:r>
      <w:r>
        <w:rPr>
          <w:bCs/>
          <w:b/>
        </w:rPr>
        <w:t xml:space="preserve">Saudi Arabia</w:t>
      </w:r>
      <w:r>
        <w:t xml:space="preserve">.</w:t>
      </w:r>
    </w:p>
    <w:bookmarkEnd w:id="24"/>
    <w:bookmarkStart w:id="25" w:name="significance-and-expected-contribution"/>
    <w:p>
      <w:pPr>
        <w:pStyle w:val="Heading2"/>
      </w:pPr>
      <w:r>
        <w:t xml:space="preserve">6. Significance and Expected Contribution</w:t>
      </w:r>
    </w:p>
    <w:p>
      <w:pPr>
        <w:pStyle w:val="FirstParagraph"/>
      </w:pPr>
      <w:r>
        <w:t xml:space="preserve">This research holds substantial significance for multiple stakeholders in the Riyadh legal ecosystem:</w:t>
      </w:r>
    </w:p>
    <w:p>
      <w:pPr>
        <w:numPr>
          <w:ilvl w:val="0"/>
          <w:numId w:val="1003"/>
        </w:numPr>
        <w:pStyle w:val="Compact"/>
      </w:pPr>
      <w:r>
        <w:rPr>
          <w:bCs/>
          <w:b/>
        </w:rPr>
        <w:t xml:space="preserve">For Riyadh &amp; Saudi Arabia:</w:t>
      </w:r>
      <w:r>
        <w:t xml:space="preserve"> </w:t>
      </w:r>
      <w:r>
        <w:t xml:space="preserve">Provides actionable data to refine legal education curricula (e.g., King Saud University Law School), inform the Ministry of Justice's licensing and continuing professional development requirements, and strengthen Riyadh's positioning as a preferred hub for international business disputes.</w:t>
      </w:r>
    </w:p>
    <w:p>
      <w:pPr>
        <w:numPr>
          <w:ilvl w:val="0"/>
          <w:numId w:val="1003"/>
        </w:numPr>
        <w:pStyle w:val="Compact"/>
      </w:pPr>
      <w:r>
        <w:rPr>
          <w:bCs/>
          <w:b/>
        </w:rPr>
        <w:t xml:space="preserve">For the Lawyer Profession:</w:t>
      </w:r>
      <w:r>
        <w:t xml:space="preserve"> </w:t>
      </w:r>
      <w:r>
        <w:t xml:space="preserve">Offers a clear roadmap for skill enhancement, identifies emerging career pathways in Riyadh's evolving market, and fosters peer-to-peer learning networks.</w:t>
      </w:r>
    </w:p>
    <w:p>
      <w:pPr>
        <w:numPr>
          <w:ilvl w:val="0"/>
          <w:numId w:val="1003"/>
        </w:numPr>
        <w:pStyle w:val="Compact"/>
      </w:pPr>
      <w:r>
        <w:rPr>
          <w:bCs/>
          <w:b/>
        </w:rPr>
        <w:t xml:space="preserve">For Foreign Investors &amp; Businesses:</w:t>
      </w:r>
      <w:r>
        <w:t xml:space="preserve"> </w:t>
      </w:r>
      <w:r>
        <w:t xml:space="preserve">Builds confidence by demonstrating a deeper understanding of the competent legal professionals available within Riyadh to navigate the Kingdom's modernized system.</w:t>
      </w:r>
    </w:p>
    <w:p>
      <w:pPr>
        <w:numPr>
          <w:ilvl w:val="0"/>
          <w:numId w:val="1003"/>
        </w:numPr>
        <w:pStyle w:val="Compact"/>
      </w:pPr>
      <w:r>
        <w:rPr>
          <w:bCs/>
          <w:b/>
        </w:rPr>
        <w:t xml:space="preserve">Academically:</w:t>
      </w:r>
      <w:r>
        <w:t xml:space="preserve"> </w:t>
      </w:r>
      <w:r>
        <w:t xml:space="preserve">Contributes a vital, context-specific case study to the global literature on legal profession adaptation in developing economies undergoing rapid institutional change, with</w:t>
      </w:r>
      <w:r>
        <w:t xml:space="preserve"> </w:t>
      </w:r>
      <w:r>
        <w:rPr>
          <w:bCs/>
          <w:b/>
        </w:rPr>
        <w:t xml:space="preserve">Saudi Arabia Riyadh</w:t>
      </w:r>
      <w:r>
        <w:t xml:space="preserve"> </w:t>
      </w:r>
      <w:r>
        <w:t xml:space="preserve">as a pivotal example.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8-9</w:t>
      </w:r>
    </w:p>
    <w:p>
      <w:pPr>
        <w:pStyle w:val="BodyText"/>
      </w:pPr>
      <w:r>
        <w:t xml:space="preserve">Document Analysis &amp; Survey Design</w:t>
      </w:r>
    </w:p>
    <w:p>
      <w:pPr>
        <w:pStyle w:val="BodyText"/>
      </w:pPr>
      <w:r>
        <w:t xml:space="preserve">X</w:t>
      </w:r>
    </w:p>
    <w:p>
      <w:pPr>
        <w:pStyle w:val="BodyText"/>
      </w:pPr>
      <w:r>
        <w:t xml:space="preserve">Survey Implementation &amp; Data Collection (Quantitative)</w:t>
      </w:r>
    </w:p>
    <w:p>
      <w:pPr>
        <w:pStyle w:val="BodyText"/>
      </w:pPr>
      <w:r>
        <w:t xml:space="preserve">X td colspan="2"&gt; </w:t>
      </w:r>
    </w:p>
    <w:bookmarkEnd w:id="26"/>
    <w:bookmarkStart w:id="27" w:name="conclusion"/>
    <w:p>
      <w:pPr>
        <w:pStyle w:val="Heading2"/>
      </w:pPr>
      <w:r>
        <w:t xml:space="preserve">8. Conclusion</w:t>
      </w:r>
    </w:p>
    <w:p>
      <w:pPr>
        <w:pStyle w:val="FirstParagraph"/>
      </w:pPr>
      <w:r>
        <w:t xml:space="preserve">The trajectory of the legal profession in Riyadh is inextricably linked to Saudi Arabia's national vision for economic diversification and global integration. The role of the Lawyer is shifting from a primarily reactive, dispute-centric function towards a proactive, strategic advisory and compliance-driven profession. This</w:t>
      </w:r>
      <w:r>
        <w:t xml:space="preserve"> </w:t>
      </w:r>
      <w:r>
        <w:rPr>
          <w:bCs/>
          <w:b/>
        </w:rPr>
        <w:t xml:space="preserve">Research Proposal</w:t>
      </w:r>
      <w:r>
        <w:t xml:space="preserve"> </w:t>
      </w:r>
      <w:r>
        <w:t xml:space="preserve">provides a timely and necessary investigation into this critical evolution specifically within the heart of the Kingdom's legal transformation –</w:t>
      </w:r>
      <w:r>
        <w:t xml:space="preserve"> </w:t>
      </w:r>
      <w:r>
        <w:rPr>
          <w:bCs/>
          <w:b/>
        </w:rPr>
        <w:t xml:space="preserve">Saudi Arabia Riyadh</w:t>
      </w:r>
      <w:r>
        <w:t xml:space="preserve">. By centering the lived experience of practicing Lawyers in this unique city environment, this research promises not only academic rigor but also tangible, practical value. It aims to equip policymakers, professional bodies, and practitioners with evidence-based insights to ensure that the Lawyer remains a cornerstone of stability and growth as Riyadh cements its status as a leading international commercial and legal center within</w:t>
      </w:r>
      <w:r>
        <w:t xml:space="preserve"> </w:t>
      </w:r>
      <w:r>
        <w:rPr>
          <w:bCs/>
          <w:b/>
        </w:rPr>
        <w:t xml:space="preserve">Saudi Arabia</w:t>
      </w:r>
      <w:r>
        <w:t xml:space="preserve"> </w:t>
      </w:r>
      <w:r>
        <w:t xml:space="preserve">and the wider Middle East.</w:t>
      </w:r>
    </w:p>
    <w:p>
      <w:pPr>
        <w:pStyle w:val="BodyText"/>
      </w:pPr>
      <w:r>
        <w:rPr>
          <w:bCs/>
          <w:b/>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Saudi Arabia Riyadh</dc:title>
  <dc:creator/>
  <dc:language>en</dc:language>
  <cp:keywords/>
  <dcterms:created xsi:type="dcterms:W3CDTF">2026-07-21T05:17:55Z</dcterms:created>
  <dcterms:modified xsi:type="dcterms:W3CDTF">2026-07-21T05:17:55Z</dcterms:modified>
</cp:coreProperties>
</file>

<file path=docProps/custom.xml><?xml version="1.0" encoding="utf-8"?>
<Properties xmlns="http://schemas.openxmlformats.org/officeDocument/2006/custom-properties" xmlns:vt="http://schemas.openxmlformats.org/officeDocument/2006/docPropsVTypes"/>
</file>