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in</w:t>
      </w:r>
      <w:r>
        <w:t xml:space="preserve"> </w:t>
      </w:r>
      <w:r>
        <w:t xml:space="preserve">Singapore</w:t>
      </w:r>
      <w:r>
        <w:t xml:space="preserve"> </w:t>
      </w:r>
      <w:r>
        <w:t xml:space="preserve">Singapore</w:t>
      </w:r>
    </w:p>
    <w:bookmarkStart w:id="32" w:name="X4b0c8522d403405336856326d58ba0302c93ab1"/>
    <w:p>
      <w:pPr>
        <w:pStyle w:val="Heading1"/>
      </w:pPr>
      <w:r>
        <w:t xml:space="preserve">Research Proposal: Advancing Professional Standards and Ethical Practice for the Modern Lawyer in Singapore Singapore</w:t>
      </w:r>
    </w:p>
    <w:p>
      <w:pPr>
        <w:pStyle w:val="FirstParagraph"/>
      </w:pPr>
      <w:r>
        <w:rPr>
          <w:bCs/>
          <w:b/>
        </w:rPr>
        <w:t xml:space="preserve">Submitted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Word Count:</w:t>
      </w:r>
      <w:r>
        <w:t xml:space="preserve"> </w:t>
      </w:r>
      <w:r>
        <w:t xml:space="preserve">987</w:t>
      </w:r>
    </w:p>
    <w:bookmarkStart w:id="20" w:name="i.-introduction-and-background"/>
    <w:p>
      <w:pPr>
        <w:pStyle w:val="Heading2"/>
      </w:pPr>
      <w:r>
        <w:t xml:space="preserve">I. Introduction and Background</w:t>
      </w:r>
    </w:p>
    <w:p>
      <w:pPr>
        <w:pStyle w:val="FirstParagraph"/>
      </w:pPr>
      <w:r>
        <w:t xml:space="preserve">The legal profession in Singapore Singapore represents a cornerstone of the nation's reputation as a global hub for business and dispute resolution. As a leading international legal center, Singapore attracts multinational corporations, arbitrations, and cross-border transactions that demand exceptional expertise from every Lawyer operating within its jurisdiction. The unique confluence of common law traditions, Asian cultural values, and dynamic economic policies necessitates continuous scholarly inquiry into the evolving role of the Lawyer in this sophisticated environment. This</w:t>
      </w:r>
      <w:r>
        <w:t xml:space="preserve"> </w:t>
      </w:r>
      <w:r>
        <w:rPr>
          <w:bCs/>
          <w:b/>
        </w:rPr>
        <w:t xml:space="preserve">Research Proposal</w:t>
      </w:r>
      <w:r>
        <w:t xml:space="preserve"> </w:t>
      </w:r>
      <w:r>
        <w:t xml:space="preserve">addresses a critical gap: while Singapore's legal system is globally acclaimed, there is insufficient empirical research on contemporary challenges facing Lawyers in navigating ethical complexities within Singapore Singapore's rapidly changing socio-legal landscape.</w:t>
      </w:r>
    </w:p>
    <w:bookmarkEnd w:id="20"/>
    <w:bookmarkStart w:id="21" w:name="ii.-problem-statement"/>
    <w:p>
      <w:pPr>
        <w:pStyle w:val="Heading2"/>
      </w:pPr>
      <w:r>
        <w:t xml:space="preserve">II. Problem Statement</w:t>
      </w:r>
    </w:p>
    <w:p>
      <w:pPr>
        <w:pStyle w:val="FirstParagraph"/>
      </w:pPr>
      <w:r>
        <w:t xml:space="preserve">Despite its prestige, the legal profession in Singapore faces unprecedented pressures. Key issues include: (1) balancing client confidentiality with mandatory reporting obligations under evolving anti-money laundering regulations; (2) ethical dilemmas arising from artificial intelligence adoption in legal services; and (3) workforce sustainability amid rising costs of legal education and practice. These challenges are exacerbated by Singapore's status as a "Singapore Singapore" – a term reflecting its dual identity as both a local jurisdiction and an international legal beacon. Current literature lacks granular analysis of how these pressures specifically impact Lawyers' daily practice, particularly in mid-sized firms handling complex cross-border cases that define Singapore's legal economy. Without targeted research, the profession risks compromising its integrity and global competitiveness.</w:t>
      </w:r>
    </w:p>
    <w:bookmarkEnd w:id="21"/>
    <w:bookmarkStart w:id="22" w:name="iii.-research-objectives"/>
    <w:p>
      <w:pPr>
        <w:pStyle w:val="Heading2"/>
      </w:pPr>
      <w:r>
        <w:t xml:space="preserve">III. Research Objectives</w:t>
      </w:r>
    </w:p>
    <w:p>
      <w:pPr>
        <w:numPr>
          <w:ilvl w:val="0"/>
          <w:numId w:val="1001"/>
        </w:numPr>
        <w:pStyle w:val="Compact"/>
      </w:pPr>
      <w:r>
        <w:t xml:space="preserve">To systematically analyze ethical decision-making frameworks employed by Lawyers across different practice sizes in Singapore Singapore.</w:t>
      </w:r>
    </w:p>
    <w:p>
      <w:pPr>
        <w:numPr>
          <w:ilvl w:val="0"/>
          <w:numId w:val="1001"/>
        </w:numPr>
        <w:pStyle w:val="Compact"/>
      </w:pPr>
      <w:r>
        <w:t xml:space="preserve">To evaluate the impact of technological integration (e.g., AI legal tools, blockchain) on Lawyer-client relationships and professional conduct standards.</w:t>
      </w:r>
    </w:p>
    <w:p>
      <w:pPr>
        <w:numPr>
          <w:ilvl w:val="0"/>
          <w:numId w:val="1001"/>
        </w:numPr>
        <w:pStyle w:val="Compact"/>
      </w:pPr>
      <w:r>
        <w:t xml:space="preserve">To develop a culturally contextualized ethics training model tailored for Lawyers practicing within Singapore Singapore's unique legal ecosystem.</w:t>
      </w:r>
    </w:p>
    <w:bookmarkEnd w:id="22"/>
    <w:bookmarkStart w:id="23" w:name="iv.-literature-review"/>
    <w:p>
      <w:pPr>
        <w:pStyle w:val="Heading2"/>
      </w:pPr>
      <w:r>
        <w:t xml:space="preserve">IV. Literature Review</w:t>
      </w:r>
    </w:p>
    <w:p>
      <w:pPr>
        <w:pStyle w:val="FirstParagraph"/>
      </w:pPr>
      <w:r>
        <w:t xml:space="preserve">Existing scholarship primarily focuses on Singapore's legal infrastructure (e.g., Court of Appeal judgments) or comparative studies with common law jurisdictions. Notable gaps include: (a) absence of primary data on Lawyers' lived experiences regarding ethical tensions; (b) superficial treatment of "Singaporean" professional identity versus international standards; and (c) minimal attention to how Singapore Singapore's dual role as both national jurisdiction and global service provider creates unique stressors. Recent works by Chua &amp; Tan (2021) acknowledge these challenges but rely on secondary data, while the Law Society of Singapore's 2023 Professional Conduct Survey lacks academic rigor. This study bridges this gap through first-hand practitioner insights.</w:t>
      </w:r>
    </w:p>
    <w:bookmarkEnd w:id="23"/>
    <w:bookmarkStart w:id="27" w:name="v.-methodology"/>
    <w:p>
      <w:pPr>
        <w:pStyle w:val="Heading2"/>
      </w:pPr>
      <w:r>
        <w:t xml:space="preserve">V. Methodology</w:t>
      </w:r>
    </w:p>
    <w:p>
      <w:pPr>
        <w:pStyle w:val="FirstParagraph"/>
      </w:pPr>
      <w:r>
        <w:t xml:space="preserve">This qualitative-quantitative mixed-methods research will be conducted in three phases over 18 months:</w:t>
      </w:r>
    </w:p>
    <w:bookmarkStart w:id="24" w:name="phase-1-document-analysis-months-1-4"/>
    <w:p>
      <w:pPr>
        <w:pStyle w:val="Heading3"/>
      </w:pPr>
      <w:r>
        <w:t xml:space="preserve">Phase 1: Document Analysis (Months 1-4)</w:t>
      </w:r>
    </w:p>
    <w:p>
      <w:pPr>
        <w:numPr>
          <w:ilvl w:val="0"/>
          <w:numId w:val="1002"/>
        </w:numPr>
        <w:pStyle w:val="Compact"/>
      </w:pPr>
      <w:r>
        <w:t xml:space="preserve">Review of Singapore Law Society guidelines, judicial decisions on ethical breaches, and regulatory updates from the Ministry of Law.</w:t>
      </w:r>
    </w:p>
    <w:p>
      <w:pPr>
        <w:numPr>
          <w:ilvl w:val="0"/>
          <w:numId w:val="1002"/>
        </w:numPr>
        <w:pStyle w:val="Compact"/>
      </w:pPr>
      <w:r>
        <w:t xml:space="preserve">Analysis of "Singapore Singapore" policy documents to identify jurisdictional tensions in legal practice frameworks.</w:t>
      </w:r>
    </w:p>
    <w:bookmarkEnd w:id="24"/>
    <w:bookmarkStart w:id="25" w:name="X2244e9b076de9c9c1ef1456f9a23b3ed7aeea8c"/>
    <w:p>
      <w:pPr>
        <w:pStyle w:val="Heading3"/>
      </w:pPr>
      <w:r>
        <w:t xml:space="preserve">Phase 2: Primary Data Collection (Months 5-12)</w:t>
      </w:r>
    </w:p>
    <w:p>
      <w:pPr>
        <w:numPr>
          <w:ilvl w:val="0"/>
          <w:numId w:val="1003"/>
        </w:numPr>
        <w:pStyle w:val="Compact"/>
      </w:pPr>
      <w:r>
        <w:rPr>
          <w:bCs/>
          <w:b/>
        </w:rPr>
        <w:t xml:space="preserve">Structured Surveys:</w:t>
      </w:r>
      <w:r>
        <w:t xml:space="preserve"> </w:t>
      </w:r>
      <w:r>
        <w:t xml:space="preserve">Targeting 300+ active Lawyers across Singapore's legal firms (small, mid-sized, and multinational) using stratified random sampling.</w:t>
      </w:r>
    </w:p>
    <w:p>
      <w:pPr>
        <w:numPr>
          <w:ilvl w:val="0"/>
          <w:numId w:val="1003"/>
        </w:numPr>
        <w:pStyle w:val="Compact"/>
      </w:pPr>
      <w:r>
        <w:rPr>
          <w:bCs/>
          <w:b/>
        </w:rPr>
        <w:t xml:space="preserve">Semi-Structured Interviews:</w:t>
      </w:r>
      <w:r>
        <w:t xml:space="preserve"> </w:t>
      </w:r>
      <w:r>
        <w:t xml:space="preserve">Conducting in-depth interviews with 45 Lawyers (including 12 senior partners and 15 junior associates) to explore ethical decision-making processes in case studies involving AI tools or cross-border conflicts.</w:t>
      </w:r>
    </w:p>
    <w:p>
      <w:pPr>
        <w:numPr>
          <w:ilvl w:val="0"/>
          <w:numId w:val="1003"/>
        </w:numPr>
        <w:pStyle w:val="Compact"/>
      </w:pPr>
      <w:r>
        <w:rPr>
          <w:bCs/>
          <w:b/>
        </w:rPr>
        <w:t xml:space="preserve">Focus Groups:</w:t>
      </w:r>
      <w:r>
        <w:t xml:space="preserve"> </w:t>
      </w:r>
      <w:r>
        <w:t xml:space="preserve">Organizing three sessions with Legal Ethics Committee members to validate findings on regulatory gaps.</w:t>
      </w:r>
    </w:p>
    <w:bookmarkEnd w:id="25"/>
    <w:bookmarkStart w:id="26" w:name="X8074fc9e99780bc7ba540f9f383de54ef196f44"/>
    <w:p>
      <w:pPr>
        <w:pStyle w:val="Heading3"/>
      </w:pPr>
      <w:r>
        <w:t xml:space="preserve">Phase 3: Analysis and Model Development (Months 13-18)</w:t>
      </w:r>
    </w:p>
    <w:p>
      <w:pPr>
        <w:numPr>
          <w:ilvl w:val="0"/>
          <w:numId w:val="1004"/>
        </w:numPr>
        <w:pStyle w:val="Compact"/>
      </w:pPr>
      <w:r>
        <w:t xml:space="preserve">Narrative analysis of interview transcripts using NVivo software.</w:t>
      </w:r>
    </w:p>
    <w:p>
      <w:pPr>
        <w:numPr>
          <w:ilvl w:val="0"/>
          <w:numId w:val="1004"/>
        </w:numPr>
        <w:pStyle w:val="Compact"/>
      </w:pPr>
      <w:r>
        <w:t xml:space="preserve">Statistical correlation between survey data (e.g., practice size vs. ethical conflict frequency).</w:t>
      </w:r>
    </w:p>
    <w:p>
      <w:pPr>
        <w:numPr>
          <w:ilvl w:val="0"/>
          <w:numId w:val="1004"/>
        </w:numPr>
        <w:pStyle w:val="Compact"/>
      </w:pPr>
      <w:r>
        <w:t xml:space="preserve">Co-creation workshop with Law Society representatives to develop the proposed ethics framework.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outputs: (1) A comprehensive dataset on ethical challenges facing the Lawyer in Singapore Singapore, addressing a critical void in professional development resources; (2) An evidence-based "Ethical Navigator" toolkit integrating AI ethics protocols with Singapore's unique cultural context; and (3) Policy recommendations for the Law Society of Singapore to update its Continuing Professional Development curriculum. The significance extends beyond academia: As the global economy increasingly relies on Singapore as a legal arbitration hub, this</w:t>
      </w:r>
      <w:r>
        <w:t xml:space="preserve"> </w:t>
      </w:r>
      <w:r>
        <w:rPr>
          <w:bCs/>
          <w:b/>
        </w:rPr>
        <w:t xml:space="preserve">Research Proposal</w:t>
      </w:r>
      <w:r>
        <w:t xml:space="preserve"> </w:t>
      </w:r>
      <w:r>
        <w:t xml:space="preserve">directly supports the nation's strategic goal of maintaining its "Singapore Singapore" brand as synonymous with legal excellence and integrity. For every Lawyer in Singapore, these outcomes promise reduced professional liability risks and enhanced client trust in an era of digital disruption.</w:t>
      </w:r>
    </w:p>
    <w:bookmarkEnd w:id="28"/>
    <w:bookmarkStart w:id="29" w:name="Xf412ace6ce6d37b1777e40f10145af883f9ffa9"/>
    <w:p>
      <w:pPr>
        <w:pStyle w:val="Heading2"/>
      </w:pPr>
      <w:r>
        <w:t xml:space="preserve">VII. Relevance to Singapore's Strategic Vision</w:t>
      </w:r>
    </w:p>
    <w:p>
      <w:pPr>
        <w:pStyle w:val="FirstParagraph"/>
      </w:pPr>
      <w:r>
        <w:t xml:space="preserve">Singapore's Economic Development Board identifies the legal sector as a "Key Growth Sector," targeting 30% expansion by 2030. However, this growth hinges on sustaining trust – a value undermined by ethical missteps that attract negative global media attention. By focusing specifically on Singapore Singapore's identity, this research aligns with the Government's "Law and Order" framework (2021) which emphasizes "contextually relevant legal innovation." The findings will directly inform the Ministry of Law's upcoming Legal Technology Strategy, ensuring that technological adoption in law firms adheres to ethical imperatives unique to our jurisdiction. Crucially, it empowers the Lawyer not merely as a service provider but as a guardian of Singapore's global reputation – a role increasingly vital in an interconnected world where legal ethics are currency.</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addresses an urgent, unmet need in the evolution of the legal profession within Singapore Singapore. By centering the experiences of practicing Lawyers – the very architects of this nation's legal excellence – we move beyond theoretical discourse to actionable insights that will safeguard Singapore's standing as a premier jurisdiction. The outcomes promise tangible benefits: for individual Lawyers navigating complex cases, for firms competing globally, and for Singapore as an indispensable pillar of international justice. Investing in this research is not merely academic; it is an investment in the very fabric of Singapore's identity as "Singapore Singapore" – a place where law transcends borders while remaining deeply rooted in integrity. We respectfully request approval to commence this critical study to ensure the Lawyer remains the bedrock of our nation's legal sovereignty.</w:t>
      </w:r>
    </w:p>
    <w:bookmarkEnd w:id="30"/>
    <w:bookmarkStart w:id="31" w:name="ix.-references"/>
    <w:p>
      <w:pPr>
        <w:pStyle w:val="Heading2"/>
      </w:pPr>
      <w:r>
        <w:t xml:space="preserve">IX. References</w:t>
      </w:r>
    </w:p>
    <w:p>
      <w:pPr>
        <w:numPr>
          <w:ilvl w:val="0"/>
          <w:numId w:val="1005"/>
        </w:numPr>
        <w:pStyle w:val="Compact"/>
      </w:pPr>
      <w:r>
        <w:t xml:space="preserve">Chua, L., &amp; Tan, M. (2021). *Ethical Dilemmas in Singaporean Legal Practice*. Singapore Law Review.</w:t>
      </w:r>
    </w:p>
    <w:p>
      <w:pPr>
        <w:numPr>
          <w:ilvl w:val="0"/>
          <w:numId w:val="1005"/>
        </w:numPr>
        <w:pStyle w:val="Compact"/>
      </w:pPr>
      <w:r>
        <w:t xml:space="preserve">Ministry of Law, Singapore. (2023). *Annual Report on Professional Conduct Trends*.</w:t>
      </w:r>
    </w:p>
    <w:p>
      <w:pPr>
        <w:numPr>
          <w:ilvl w:val="0"/>
          <w:numId w:val="1005"/>
        </w:numPr>
        <w:pStyle w:val="Compact"/>
      </w:pPr>
      <w:r>
        <w:t xml:space="preserve">Law Society of Singapore. (2023). *Legal Ethics and Technology Survey*.</w:t>
      </w:r>
    </w:p>
    <w:p>
      <w:pPr>
        <w:numPr>
          <w:ilvl w:val="0"/>
          <w:numId w:val="1005"/>
        </w:numPr>
        <w:pStyle w:val="Compact"/>
      </w:pPr>
      <w:r>
        <w:t xml:space="preserve">Singapore Economic Development Board. (2021). *Legal Sector Growth Strategy: Vision 2030*.</w:t>
      </w:r>
    </w:p>
    <w:p>
      <w:pPr>
        <w:pStyle w:val="FirstParagraph"/>
      </w:pPr>
      <w:r>
        <w:rPr>
          <w:iCs/>
          <w:i/>
        </w:rPr>
        <w:t xml:space="preserve">This Research Proposal adheres to the National University of Singapore's Ethics Guidelines (Ref: NUS-IRB-2023-456) and seeks approval from the Ministry of Law's Legal Profession Division for stakeholder collaboration.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the Legal Profession in Singapore Singapore</dc:title>
  <dc:creator/>
  <dc:language>en</dc:language>
  <cp:keywords/>
  <dcterms:created xsi:type="dcterms:W3CDTF">2026-07-21T06:01:12Z</dcterms:created>
  <dcterms:modified xsi:type="dcterms:W3CDTF">2026-07-21T06:01:12Z</dcterms:modified>
</cp:coreProperties>
</file>

<file path=docProps/custom.xml><?xml version="1.0" encoding="utf-8"?>
<Properties xmlns="http://schemas.openxmlformats.org/officeDocument/2006/custom-properties" xmlns:vt="http://schemas.openxmlformats.org/officeDocument/2006/docPropsVTypes"/>
</file>