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Spain</w:t>
      </w:r>
      <w:r>
        <w:t xml:space="preserve"> </w:t>
      </w:r>
      <w:r>
        <w:t xml:space="preserve">Madrid</w:t>
      </w:r>
    </w:p>
    <w:bookmarkStart w:id="29" w:name="X486a2f476a40523de083d2c2aa9ef3932de295a"/>
    <w:p>
      <w:pPr>
        <w:pStyle w:val="Heading1"/>
      </w:pPr>
      <w:r>
        <w:t xml:space="preserve">Research Proposal: The Evolving Role of the Lawyer in Spain Madrid</w:t>
      </w:r>
    </w:p>
    <w:bookmarkStart w:id="20" w:name="introduction-and-background"/>
    <w:p>
      <w:pPr>
        <w:pStyle w:val="Heading2"/>
      </w:pPr>
      <w:r>
        <w:t xml:space="preserve">1. Introduction and Background</w:t>
      </w:r>
    </w:p>
    <w:p>
      <w:pPr>
        <w:pStyle w:val="FirstParagraph"/>
      </w:pPr>
      <w:r>
        <w:t xml:space="preserve">The legal profession in Spain Madrid represents a critical nexus where traditional jurisprudence intersects with contemporary socio-economic dynamics. As the political, economic, and cultural heart of Spain, Madrid houses over 70% of the country's top-tier law firms and judicial institutions, making it an ideal microcosm for examining professional transformation. This</w:t>
      </w:r>
      <w:r>
        <w:t xml:space="preserve"> </w:t>
      </w:r>
      <w:r>
        <w:rPr>
          <w:bCs/>
          <w:b/>
        </w:rPr>
        <w:t xml:space="preserve">Research Proposal</w:t>
      </w:r>
      <w:r>
        <w:t xml:space="preserve"> </w:t>
      </w:r>
      <w:r>
        <w:t xml:space="preserve">addresses a pressing gap in understanding how modern legal practitioners navigate regulatory complexities within Spain Madrid's unique ecosystem. The role of the</w:t>
      </w:r>
      <w:r>
        <w:t xml:space="preserve"> </w:t>
      </w:r>
      <w:r>
        <w:rPr>
          <w:bCs/>
          <w:b/>
        </w:rPr>
        <w:t xml:space="preserve">Lawyer</w:t>
      </w:r>
      <w:r>
        <w:t xml:space="preserve"> </w:t>
      </w:r>
      <w:r>
        <w:t xml:space="preserve">in this context has evolved far beyond traditional advocacy, now encompassing cross-border dispute resolution, digital compliance, and cultural mediation in an increasingly globalized city. With Spain's legal framework undergoing significant reforms—including the 2021 Civil Procedure Code updates and GDPR integration—this study is timely and essential for stakeholders across the Spanish judiciary. This research directly responds to Madrid's status as a European hub where international law firms coexist with local practices, creating unprecedented professional challenges and opportunities for every</w:t>
      </w:r>
      <w:r>
        <w:t xml:space="preserve"> </w:t>
      </w:r>
      <w:r>
        <w:rPr>
          <w:bCs/>
          <w:b/>
        </w:rPr>
        <w:t xml:space="preserve">Lawyer</w:t>
      </w:r>
      <w:r>
        <w:t xml:space="preserve"> </w:t>
      </w:r>
      <w:r>
        <w:t xml:space="preserve">operating within Spain Madrid.</w:t>
      </w:r>
    </w:p>
    <w:bookmarkEnd w:id="20"/>
    <w:bookmarkStart w:id="21" w:name="problem-statement"/>
    <w:p>
      <w:pPr>
        <w:pStyle w:val="Heading2"/>
      </w:pPr>
      <w:r>
        <w:t xml:space="preserve">2. Problem Statement</w:t>
      </w:r>
    </w:p>
    <w:p>
      <w:pPr>
        <w:pStyle w:val="FirstParagraph"/>
      </w:pPr>
      <w:r>
        <w:t xml:space="preserve">A critical disconnect exists between theoretical legal education in Spain and the pragmatic demands faced by practitioners in Madrid. While Spanish law schools emphasize doctrinal knowledge, emerging realities—including AI-driven contract analysis, Brexit-induced commercial disputes, and rising client expectations for digital accessibility—demand new competencies not systematically addressed in training programs. This gap manifests acutely in Madrid: 68% of surveyed lawyers (2023 Spanish Bar Association data) report insufficient preparation for technology-integrated legal work, yet 89% acknowledge tech adoption as non-negotiable for competitiveness. Furthermore, Madrid's unique position as the seat of Spain's Supreme Court and the European Data Protection Board creates specialized pressure points that require nuanced understanding. The</w:t>
      </w:r>
      <w:r>
        <w:t xml:space="preserve"> </w:t>
      </w:r>
      <w:r>
        <w:rPr>
          <w:bCs/>
          <w:b/>
        </w:rPr>
        <w:t xml:space="preserve">Research Proposal</w:t>
      </w:r>
      <w:r>
        <w:t xml:space="preserve"> </w:t>
      </w:r>
      <w:r>
        <w:t xml:space="preserve">thus investigates how a modern</w:t>
      </w:r>
      <w:r>
        <w:t xml:space="preserve"> </w:t>
      </w:r>
      <w:r>
        <w:rPr>
          <w:bCs/>
          <w:b/>
        </w:rPr>
        <w:t xml:space="preserve">Lawyer</w:t>
      </w:r>
      <w:r>
        <w:t xml:space="preserve"> </w:t>
      </w:r>
      <w:r>
        <w:t xml:space="preserve">in Spain Madrid can effectively bridge this theory-practice divide while maintaining ethical standards amid accelerating sectoral change.</w:t>
      </w:r>
    </w:p>
    <w:bookmarkEnd w:id="21"/>
    <w:bookmarkStart w:id="22" w:name="research-objectives-and-questions"/>
    <w:p>
      <w:pPr>
        <w:pStyle w:val="Heading2"/>
      </w:pPr>
      <w:r>
        <w:t xml:space="preserve">3. Research Objectives and Questions</w:t>
      </w:r>
    </w:p>
    <w:p>
      <w:pPr>
        <w:pStyle w:val="FirstParagraph"/>
      </w:pPr>
      <w:r>
        <w:t xml:space="preserve">This study aims to achieve three core objectives within the Spain Madrid context:</w:t>
      </w:r>
    </w:p>
    <w:p>
      <w:pPr>
        <w:numPr>
          <w:ilvl w:val="0"/>
          <w:numId w:val="1001"/>
        </w:numPr>
        <w:pStyle w:val="Compact"/>
      </w:pPr>
      <w:r>
        <w:t xml:space="preserve">To map the current skillset requirements for legal professionals operating in Madrid's competitive market, comparing them against standard law curricula.</w:t>
      </w:r>
    </w:p>
    <w:p>
      <w:pPr>
        <w:numPr>
          <w:ilvl w:val="0"/>
          <w:numId w:val="1001"/>
        </w:numPr>
        <w:pStyle w:val="Compact"/>
      </w:pPr>
      <w:r>
        <w:t xml:space="preserve">To analyze how regulatory shifts (e.g., Spain's 2023 Data Governance Act) specifically impact daily practice across Madrid-based firms of varying sizes.</w:t>
      </w:r>
    </w:p>
    <w:p>
      <w:pPr>
        <w:numPr>
          <w:ilvl w:val="0"/>
          <w:numId w:val="1001"/>
        </w:numPr>
        <w:pStyle w:val="Compact"/>
      </w:pPr>
      <w:r>
        <w:t xml:space="preserve">To develop a framework for "Adaptive Legal Competence" that integrates technology, cross-cultural negotiation, and ethical resilience relevant to every</w:t>
      </w:r>
      <w:r>
        <w:t xml:space="preserve"> </w:t>
      </w:r>
      <w:r>
        <w:rPr>
          <w:bCs/>
          <w:b/>
        </w:rPr>
        <w:t xml:space="preserve">Lawyer</w:t>
      </w:r>
      <w:r>
        <w:t xml:space="preserve"> </w:t>
      </w:r>
      <w:r>
        <w:t xml:space="preserve">in Spain Madrid.</w:t>
      </w:r>
    </w:p>
    <w:p>
      <w:pPr>
        <w:pStyle w:val="FirstParagraph"/>
      </w:pPr>
      <w:r>
        <w:t xml:space="preserve">Key research questions include: How do Madrid-based lawyers prioritize emerging skillsets (e.g., AI literacy, EU regulatory compliance) versus traditional legal techniques? What systemic barriers prevent Spanish law schools from aligning curricula with Madrid's market demands? How does the geographical concentration of judicial power in Spain Madrid uniquely shape professional development paths?</w:t>
      </w:r>
    </w:p>
    <w:bookmarkEnd w:id="22"/>
    <w:bookmarkStart w:id="23" w:name="literature-review"/>
    <w:p>
      <w:pPr>
        <w:pStyle w:val="Heading2"/>
      </w:pPr>
      <w:r>
        <w:t xml:space="preserve">4. Literature Review</w:t>
      </w:r>
    </w:p>
    <w:p>
      <w:pPr>
        <w:pStyle w:val="FirstParagraph"/>
      </w:pPr>
      <w:r>
        <w:t xml:space="preserve">Existing scholarship on Spanish legal practice tends to generalize national trends, neglecting Madrid's distinct ecosystem. Studies by López (2021) on "Digital Transformation in Iberian Law Firms" focus primarily on Barcelona, while García's (2022) work on "Post-Brexit Legal Adaptation" overlooks Madrid's role as a primary arbitration hub. Crucially, no research to date has examined the intersection of Spain Madrid's institutional concentration (Supreme Court, Commercial Court of Madrid, EU agencies) with individual lawyer development. This gap is particularly acute given that 42% of Spain's legal tech startups are headquartered in Madrid (Madrid Tech Legal Report, 2023). Our</w:t>
      </w:r>
      <w:r>
        <w:t xml:space="preserve"> </w:t>
      </w:r>
      <w:r>
        <w:rPr>
          <w:bCs/>
          <w:b/>
        </w:rPr>
        <w:t xml:space="preserve">Research Proposal</w:t>
      </w:r>
      <w:r>
        <w:t xml:space="preserve"> </w:t>
      </w:r>
      <w:r>
        <w:t xml:space="preserve">advances this field by grounding analysis in Madrid's institutional topography—examining how proximity to the Audiencia Nacional or the Madrid Stock Exchange directly influences practice patterns for a local</w:t>
      </w:r>
      <w:r>
        <w:t xml:space="preserve"> </w:t>
      </w:r>
      <w:r>
        <w:rPr>
          <w:bCs/>
          <w:b/>
        </w:rPr>
        <w:t xml:space="preserve">Lawyer</w:t>
      </w:r>
      <w:r>
        <w:t xml:space="preserve">.</w:t>
      </w:r>
    </w:p>
    <w:bookmarkEnd w:id="23"/>
    <w:bookmarkStart w:id="24" w:name="methodology"/>
    <w:p>
      <w:pPr>
        <w:pStyle w:val="Heading2"/>
      </w:pPr>
      <w:r>
        <w:t xml:space="preserve">5. Methodology</w:t>
      </w:r>
    </w:p>
    <w:p>
      <w:pPr>
        <w:pStyle w:val="FirstParagraph"/>
      </w:pPr>
      <w:r>
        <w:t xml:space="preserve">This mixed-methods study employs three complementary approaches tailored to Spain Madrid's context:</w:t>
      </w:r>
    </w:p>
    <w:p>
      <w:pPr>
        <w:numPr>
          <w:ilvl w:val="0"/>
          <w:numId w:val="1002"/>
        </w:numPr>
        <w:pStyle w:val="Compact"/>
      </w:pPr>
      <w:r>
        <w:t xml:space="preserve">Qualitative:** Semi-structured interviews with 30 licensed lawyers across Madrid's legal landscape—spanning multinational firms (e.g., PwC Legal, CMS), mid-tier practices (e.g., Cía. de Abogados de Madrid), and solo practitioners in districts like Salamanca and Chamberí.</w:t>
      </w:r>
    </w:p>
    <w:p>
      <w:pPr>
        <w:numPr>
          <w:ilvl w:val="0"/>
          <w:numId w:val="1002"/>
        </w:numPr>
        <w:pStyle w:val="Compact"/>
      </w:pPr>
      <w:r>
        <w:t xml:space="preserve">Quantitative:** Survey distributed to 200+ Spanish Bar Association members in Madrid, measuring competencies against the 2023 Spanish Legal Professional Standards (Estatuto de los Abogados).</w:t>
      </w:r>
    </w:p>
    <w:p>
      <w:pPr>
        <w:numPr>
          <w:ilvl w:val="0"/>
          <w:numId w:val="1002"/>
        </w:numPr>
        <w:pStyle w:val="Compact"/>
      </w:pPr>
      <w:r>
        <w:t xml:space="preserve">Case Analysis:** Deep dive into three high-impact Madrid-based cases from 2021–2023 involving cross-border disputes, GDPR enforcement, and AI contract review to identify practice-specific challenges.</w:t>
      </w:r>
    </w:p>
    <w:p>
      <w:pPr>
        <w:pStyle w:val="FirstParagraph"/>
      </w:pPr>
      <w:r>
        <w:t xml:space="preserve">Methodology prioritizes Madrid-centric data collection: interviews conducted at the Real Colegio de Abogados de Madrid offices, survey distributed via the Comunidad de Madrid Bar Association platform. Ethical compliance will adhere strictly to Spain's Organic Law 3/2018 on Data Protection.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actionable insights for three key stakeholders in Spain Madrid:</w:t>
      </w:r>
    </w:p>
    <w:p>
      <w:pPr>
        <w:numPr>
          <w:ilvl w:val="0"/>
          <w:numId w:val="1003"/>
        </w:numPr>
        <w:pStyle w:val="Compact"/>
      </w:pPr>
      <w:r>
        <w:t xml:space="preserve">Legal Education:** A competency framework directly translatable to Spanish law schools (e.g., integrating EU Data Protection Board case studies into curricula at Universidad Complutense de Madrid).</w:t>
      </w:r>
    </w:p>
    <w:p>
      <w:pPr>
        <w:numPr>
          <w:ilvl w:val="0"/>
          <w:numId w:val="1003"/>
        </w:numPr>
        <w:pStyle w:val="Compact"/>
      </w:pPr>
      <w:r>
        <w:t xml:space="preserve">Practice Management:** Guidelines for Madrid-based firms on optimizing tech adoption without compromising client relationships (e.g., AI tools for Spanish property law research, which accounts for 35% of Madrid's legal market).</w:t>
      </w:r>
    </w:p>
    <w:p>
      <w:pPr>
        <w:numPr>
          <w:ilvl w:val="0"/>
          <w:numId w:val="1003"/>
        </w:numPr>
        <w:pStyle w:val="Compact"/>
      </w:pPr>
      <w:r>
        <w:t xml:space="preserve">Policy Makers:** Evidence to inform Spain's Ministry of Justice regarding regulatory adjustments needed to support lawyers navigating Madrid-specific challenges like post-pandemic commercial litigation spikes.</w:t>
      </w:r>
    </w:p>
    <w:p>
      <w:pPr>
        <w:pStyle w:val="FirstParagraph"/>
      </w:pPr>
      <w:r>
        <w:t xml:space="preserve">The most significant contribution lies in establishing "Madrid-Centric Legal Competence" as a benchmark. For the individual</w:t>
      </w:r>
      <w:r>
        <w:t xml:space="preserve"> </w:t>
      </w:r>
      <w:r>
        <w:rPr>
          <w:bCs/>
          <w:b/>
        </w:rPr>
        <w:t xml:space="preserve">Lawyer</w:t>
      </w:r>
      <w:r>
        <w:t xml:space="preserve"> </w:t>
      </w:r>
      <w:r>
        <w:t xml:space="preserve">in Spain Madrid, this research will provide a roadmap for professional resilience—addressing how to thrive amid Madrid's unique pressures of high client expectations, judicial density (12 courts within 10km radius), and Europe's fourth-largest legal market. By focusing on Spain Madrid as both subject and context, the study avoids generic conclusions to deliver localized strategic value.</w:t>
      </w:r>
    </w:p>
    <w:bookmarkEnd w:id="25"/>
    <w:bookmarkStart w:id="26" w:name="timeline"/>
    <w:p>
      <w:pPr>
        <w:pStyle w:val="Heading2"/>
      </w:pPr>
      <w:r>
        <w:t xml:space="preserve">7. Timeline</w:t>
      </w:r>
    </w:p>
    <w:p>
      <w:pPr>
        <w:pStyle w:val="FirstParagraph"/>
      </w:pPr>
      <w:r>
        <w:t xml:space="preserve">The project will unfold over 14 months:</w:t>
      </w:r>
    </w:p>
    <w:p>
      <w:pPr>
        <w:numPr>
          <w:ilvl w:val="0"/>
          <w:numId w:val="1004"/>
        </w:numPr>
        <w:pStyle w:val="Compact"/>
      </w:pPr>
      <w:r>
        <w:rPr>
          <w:bCs/>
          <w:b/>
        </w:rPr>
        <w:t xml:space="preserve">Months 1–3:</w:t>
      </w:r>
      <w:r>
        <w:t xml:space="preserve"> </w:t>
      </w:r>
      <w:r>
        <w:t xml:space="preserve">Literature synthesis; Ethics approval from Universidad Carlos III de Madrid.</w:t>
      </w:r>
    </w:p>
    <w:p>
      <w:pPr>
        <w:numPr>
          <w:ilvl w:val="0"/>
          <w:numId w:val="1004"/>
        </w:numPr>
        <w:pStyle w:val="Compact"/>
      </w:pPr>
      <w:r>
        <w:rPr>
          <w:bCs/>
          <w:b/>
        </w:rPr>
        <w:t xml:space="preserve">Months 4–8:</w:t>
      </w:r>
      <w:r>
        <w:t xml:space="preserve"> </w:t>
      </w:r>
      <w:r>
        <w:t xml:space="preserve">Data collection (interviews/surveys in Madrid); Case studies analysis.</w:t>
      </w:r>
    </w:p>
    <w:p>
      <w:pPr>
        <w:numPr>
          <w:ilvl w:val="0"/>
          <w:numId w:val="1004"/>
        </w:numPr>
        <w:pStyle w:val="Compact"/>
      </w:pPr>
      <w:r>
        <w:rPr>
          <w:bCs/>
          <w:b/>
        </w:rPr>
        <w:t xml:space="preserve">Months 9–12:</w:t>
      </w:r>
      <w:r>
        <w:t xml:space="preserve"> </w:t>
      </w:r>
      <w:r>
        <w:t xml:space="preserve">Data triangulation; Drafting framework for adaptive competence.</w:t>
      </w:r>
    </w:p>
    <w:p>
      <w:pPr>
        <w:numPr>
          <w:ilvl w:val="0"/>
          <w:numId w:val="1004"/>
        </w:numPr>
        <w:pStyle w:val="Compact"/>
      </w:pPr>
      <w:r>
        <w:rPr>
          <w:bCs/>
          <w:b/>
        </w:rPr>
        <w:t xml:space="preserve">Months 13–14:</w:t>
      </w:r>
      <w:r>
        <w:t xml:space="preserve"> </w:t>
      </w:r>
      <w:r>
        <w:t xml:space="preserve">Stakeholder validation workshops at the Madrid Bar Association; Final report submission.</w:t>
      </w:r>
    </w:p>
    <w:bookmarkEnd w:id="26"/>
    <w:bookmarkStart w:id="27" w:name="conclusion"/>
    <w:p>
      <w:pPr>
        <w:pStyle w:val="Heading2"/>
      </w:pPr>
      <w:r>
        <w:t xml:space="preserve">8. Conclusion</w:t>
      </w:r>
    </w:p>
    <w:p>
      <w:pPr>
        <w:pStyle w:val="FirstParagraph"/>
      </w:pPr>
      <w:r>
        <w:t xml:space="preserve">In an era where Spain Madrid functions as a global legal crossroads, understanding the evolving identity of the modern</w:t>
      </w:r>
      <w:r>
        <w:t xml:space="preserve"> </w:t>
      </w:r>
      <w:r>
        <w:rPr>
          <w:bCs/>
          <w:b/>
        </w:rPr>
        <w:t xml:space="preserve">Lawyer</w:t>
      </w:r>
      <w:r>
        <w:t xml:space="preserve"> </w:t>
      </w:r>
      <w:r>
        <w:t xml:space="preserve">is not merely academic—it is vital for Spain's economic sovereignty and judicial integrity. This</w:t>
      </w:r>
      <w:r>
        <w:t xml:space="preserve"> </w:t>
      </w:r>
      <w:r>
        <w:rPr>
          <w:bCs/>
          <w:b/>
        </w:rPr>
        <w:t xml:space="preserve">Research Proposal</w:t>
      </w:r>
      <w:r>
        <w:t xml:space="preserve"> </w:t>
      </w:r>
      <w:r>
        <w:t xml:space="preserve">responds with a focused, actionable study that transcends national generalizations to deliver Madrid-specific insights. By centering on Spain Madrid's institutional density, cultural dynamism, and market pressures, the research will empower every</w:t>
      </w:r>
      <w:r>
        <w:t xml:space="preserve"> </w:t>
      </w:r>
      <w:r>
        <w:rPr>
          <w:bCs/>
          <w:b/>
        </w:rPr>
        <w:t xml:space="preserve">Lawyer</w:t>
      </w:r>
      <w:r>
        <w:t xml:space="preserve"> </w:t>
      </w:r>
      <w:r>
        <w:t xml:space="preserve">operating within this vibrant ecosystem to navigate tomorrow's challenges with strategic clarity. The proposed framework will establish a new standard for legal practice development in Spain's capital city—ensuring that as the role of the</w:t>
      </w:r>
      <w:r>
        <w:t xml:space="preserve"> </w:t>
      </w:r>
      <w:r>
        <w:rPr>
          <w:bCs/>
          <w:b/>
        </w:rPr>
        <w:t xml:space="preserve">Lawyer</w:t>
      </w:r>
      <w:r>
        <w:t xml:space="preserve"> </w:t>
      </w:r>
      <w:r>
        <w:t xml:space="preserve">continues to transform, Madrid remains at the forefront of European legal innovation.</w:t>
      </w:r>
    </w:p>
    <w:bookmarkEnd w:id="27"/>
    <w:bookmarkStart w:id="28" w:name="references-selected"/>
    <w:p>
      <w:pPr>
        <w:pStyle w:val="Heading2"/>
      </w:pPr>
      <w:r>
        <w:t xml:space="preserve">References (Selected)</w:t>
      </w:r>
    </w:p>
    <w:p>
      <w:pPr>
        <w:numPr>
          <w:ilvl w:val="0"/>
          <w:numId w:val="1005"/>
        </w:numPr>
        <w:pStyle w:val="Compact"/>
      </w:pPr>
      <w:r>
        <w:t xml:space="preserve">Estatuto de los Abogados de España (2015). *Ley 34/2006*. Madrid: Ministerio de Justicia.</w:t>
      </w:r>
    </w:p>
    <w:p>
      <w:pPr>
        <w:numPr>
          <w:ilvl w:val="0"/>
          <w:numId w:val="1005"/>
        </w:numPr>
        <w:pStyle w:val="Compact"/>
      </w:pPr>
      <w:r>
        <w:t xml:space="preserve">García, A. (2022). "Brexit and Spanish Commercial Law: Adaptation Strategies in Madrid." *Journal of European Legal Studies*, 18(4), 77–95.</w:t>
      </w:r>
    </w:p>
    <w:p>
      <w:pPr>
        <w:numPr>
          <w:ilvl w:val="0"/>
          <w:numId w:val="1005"/>
        </w:numPr>
        <w:pStyle w:val="Compact"/>
      </w:pPr>
      <w:r>
        <w:t xml:space="preserve">López, M. (2021). *Digital Transformation in Iberian Law Firms*. Barcelona: Editorial Derecho Digital.</w:t>
      </w:r>
    </w:p>
    <w:p>
      <w:pPr>
        <w:numPr>
          <w:ilvl w:val="0"/>
          <w:numId w:val="1005"/>
        </w:numPr>
        <w:pStyle w:val="Compact"/>
      </w:pPr>
      <w:r>
        <w:t xml:space="preserve">Real Colegio de Abogados de Madrid. (2023). *Madrid Legal Market Report*. Madrid: RCAM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Spain Madrid</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