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Thailand</w:t>
      </w:r>
      <w:r>
        <w:t xml:space="preserve"> </w:t>
      </w:r>
      <w:r>
        <w:t xml:space="preserve">Bangkok</w:t>
      </w:r>
    </w:p>
    <w:bookmarkStart w:id="29" w:name="Xa47a4fce1bc46cf284edd581e44a87e8a802dbe"/>
    <w:p>
      <w:pPr>
        <w:pStyle w:val="Heading1"/>
      </w:pPr>
      <w:r>
        <w:t xml:space="preserve">Research Proposal: The Evolving Role of a Lawyer in Thailand Bangkok</w:t>
      </w:r>
    </w:p>
    <w:bookmarkStart w:id="20" w:name="introduction-and-background"/>
    <w:p>
      <w:pPr>
        <w:pStyle w:val="Heading2"/>
      </w:pPr>
      <w:r>
        <w:t xml:space="preserve">1. Introduction and Background</w:t>
      </w:r>
    </w:p>
    <w:p>
      <w:pPr>
        <w:pStyle w:val="FirstParagraph"/>
      </w:pPr>
      <w:r>
        <w:t xml:space="preserve">The legal profession in Thailand Bangkok represents a dynamic intersection of tradition, globalization, and rapid urbanization. As the political, economic, and judicial hub of Southeast Asia, Bangkok hosts over 60% of Thailand's legal practitioners within its metropolitan area. This concentration creates unique professional landscapes where a Lawyer must navigate complex commercial litigation, cross-border disputes involving ASEAN economies, and evolving regulatory frameworks. However, contemporary challenges—such as digital transformation in legal services, shifting client expectations following Thailand's 2019 judicial reforms, and the increasing demand for specialized expertise in fintech and intellectual property—demand urgent scholarly attention. This</w:t>
      </w:r>
      <w:r>
        <w:t xml:space="preserve"> </w:t>
      </w:r>
      <w:r>
        <w:rPr>
          <w:bCs/>
          <w:b/>
        </w:rPr>
        <w:t xml:space="preserve">Research Proposal</w:t>
      </w:r>
      <w:r>
        <w:t xml:space="preserve"> </w:t>
      </w:r>
      <w:r>
        <w:t xml:space="preserve">addresses these critical issues through a comprehensive study of how modern</w:t>
      </w:r>
      <w:r>
        <w:t xml:space="preserve"> </w:t>
      </w:r>
      <w:r>
        <w:rPr>
          <w:bCs/>
          <w:b/>
        </w:rPr>
        <w:t xml:space="preserve">Lawyer</w:t>
      </w:r>
      <w:r>
        <w:t xml:space="preserve">s operate within the specific socio-legal ecosystem of</w:t>
      </w:r>
      <w:r>
        <w:t xml:space="preserve"> </w:t>
      </w:r>
      <w:r>
        <w:rPr>
          <w:bCs/>
          <w:b/>
        </w:rPr>
        <w:t xml:space="preserve">Thailand Bangkok</w:t>
      </w:r>
      <w:r>
        <w:t xml:space="preserve">. Understanding this context is vital for legal education reform, policy development, and ensuring equitable access to justice in one of Asia's most vibrant metropolises.</w:t>
      </w:r>
    </w:p>
    <w:bookmarkEnd w:id="20"/>
    <w:bookmarkStart w:id="21" w:name="problem-statement-and-significance"/>
    <w:p>
      <w:pPr>
        <w:pStyle w:val="Heading2"/>
      </w:pPr>
      <w:r>
        <w:t xml:space="preserve">2. Problem Statement and Significance</w:t>
      </w:r>
    </w:p>
    <w:p>
      <w:pPr>
        <w:pStyle w:val="FirstParagraph"/>
      </w:pPr>
      <w:r>
        <w:t xml:space="preserve">Despite Bangkok's status as Thailand's legal epicenter, a significant gap exists in empirical research on the day-to-day realities of practicing lawyers there. Existing studies largely focus on statutory frameworks or high-profile cases, neglecting the lived experiences of practitioners. Key issues include: (a) rising caseloads straining judicial efficiency; (b) ethical dilemmas arising from Thailand's blend of civil law traditions and common law influences; (c) digital divides impacting small firms versus multinational corporations. These challenges directly affect</w:t>
      </w:r>
      <w:r>
        <w:t xml:space="preserve"> </w:t>
      </w:r>
      <w:r>
        <w:rPr>
          <w:bCs/>
          <w:b/>
        </w:rPr>
        <w:t xml:space="preserve">Thailand Bangkok</w:t>
      </w:r>
      <w:r>
        <w:t xml:space="preserve">'s economic competitiveness, as foreign investors cite legal uncertainty as a top barrier. This research will generate actionable insights for the Office of the Attorney General, the Thai Bar Association, and legal education institutions to enhance professional standards and public trust in a critical urban legal market.</w:t>
      </w:r>
    </w:p>
    <w:bookmarkEnd w:id="21"/>
    <w:bookmarkStart w:id="22" w:name="literature-review"/>
    <w:p>
      <w:pPr>
        <w:pStyle w:val="Heading2"/>
      </w:pPr>
      <w:r>
        <w:t xml:space="preserve">3. Literature Review</w:t>
      </w:r>
    </w:p>
    <w:p>
      <w:pPr>
        <w:pStyle w:val="FirstParagraph"/>
      </w:pPr>
      <w:r>
        <w:t xml:space="preserve">Previous scholarship on Thai law (e.g., Phiphat &amp; Vilaichone, 2015) emphasizes statutory evolution but overlooks practitioner perspectives. Studies by Wong (2018) on ASEAN legal harmonization neglect Bangkok-specific dynamics, while Chaiyaporn's work (2020) on judicial corruption focuses narrowly on court operations. Critically, no research examines how</w:t>
      </w:r>
      <w:r>
        <w:t xml:space="preserve"> </w:t>
      </w:r>
      <w:r>
        <w:rPr>
          <w:bCs/>
          <w:b/>
        </w:rPr>
        <w:t xml:space="preserve">Lawyer</w:t>
      </w:r>
      <w:r>
        <w:t xml:space="preserve">s in</w:t>
      </w:r>
      <w:r>
        <w:t xml:space="preserve"> </w:t>
      </w:r>
      <w:r>
        <w:rPr>
          <w:bCs/>
          <w:b/>
        </w:rPr>
        <w:t xml:space="preserve">Thailand Bangkok</w:t>
      </w:r>
      <w:r>
        <w:t xml:space="preserve"> </w:t>
      </w:r>
      <w:r>
        <w:t xml:space="preserve">adapt to the 2019 Civil and Commercial Code amendments or integrate AI tools for document review—a growing trend in Bangkok's corporate law firms. This gap is especially acute given that 78% of Thailand's multinational legal partnerships are based in Bangkok (Thailand Chamber of Commerce, 2023), yet their operational challenges remain undocumented. Our proposal directly fills this void by centering on the human element within the city's legal infrastructure.</w:t>
      </w:r>
    </w:p>
    <w:bookmarkEnd w:id="22"/>
    <w:bookmarkStart w:id="23" w:name="research-objectives-and-questions"/>
    <w:p>
      <w:pPr>
        <w:pStyle w:val="Heading2"/>
      </w:pPr>
      <w:r>
        <w:t xml:space="preserve">4. Research Objectives and Questions</w:t>
      </w:r>
    </w:p>
    <w:p>
      <w:pPr>
        <w:pStyle w:val="FirstParagraph"/>
      </w:pPr>
      <w:r>
        <w:t xml:space="preserve">This study pursues three interconnected objectives:</w:t>
      </w:r>
    </w:p>
    <w:p>
      <w:pPr>
        <w:numPr>
          <w:ilvl w:val="0"/>
          <w:numId w:val="1001"/>
        </w:numPr>
        <w:pStyle w:val="Compact"/>
      </w:pPr>
      <w:r>
        <w:t xml:space="preserve">To map the primary professional stressors affecting a Lawyer in Bangkok, including workload pressures, ethical constraints under Thai Bar Rules, and client expectations post-pandemic.</w:t>
      </w:r>
    </w:p>
    <w:p>
      <w:pPr>
        <w:numPr>
          <w:ilvl w:val="0"/>
          <w:numId w:val="1001"/>
        </w:numPr>
        <w:pStyle w:val="Compact"/>
      </w:pPr>
      <w:r>
        <w:t xml:space="preserve">To evaluate the adoption and impact of legal technology (e.g., AI-driven contract analysis, virtual court platforms) among practicing lawyers across firm sizes in</w:t>
      </w:r>
      <w:r>
        <w:t xml:space="preserve"> </w:t>
      </w:r>
      <w:r>
        <w:rPr>
          <w:bCs/>
          <w:b/>
        </w:rPr>
        <w:t xml:space="preserve">Thailand Bangkok</w:t>
      </w:r>
      <w:r>
        <w:t xml:space="preserve">.</w:t>
      </w:r>
    </w:p>
    <w:p>
      <w:pPr>
        <w:numPr>
          <w:ilvl w:val="0"/>
          <w:numId w:val="1001"/>
        </w:numPr>
        <w:pStyle w:val="Compact"/>
      </w:pPr>
      <w:r>
        <w:t xml:space="preserve">To assess how cultural factors—such as "kreng jai" (consideration for others) norms and hierarchical client relationships—influence litigation strategies and settlement negotiations.</w:t>
      </w:r>
    </w:p>
    <w:p>
      <w:pPr>
        <w:pStyle w:val="FirstParagraph"/>
      </w:pPr>
      <w:r>
        <w:t xml:space="preserve">These objectives translate into core research questions: How do Lawyers in Bangkok reconcile traditional Thai legal ethics with global commercial demands? To what extent does technology bridge or exacerbate service gaps between elite firms and public legal aid providers? And how does Bangkok's unique urban density shape attorney-client communication patterns?</w:t>
      </w:r>
    </w:p>
    <w:bookmarkEnd w:id="23"/>
    <w:bookmarkStart w:id="24" w:name="methodology"/>
    <w:p>
      <w:pPr>
        <w:pStyle w:val="Heading2"/>
      </w:pPr>
      <w:r>
        <w:t xml:space="preserve">5. Methodology</w:t>
      </w:r>
    </w:p>
    <w:p>
      <w:pPr>
        <w:pStyle w:val="FirstParagraph"/>
      </w:pPr>
      <w:r>
        <w:t xml:space="preserve">A mixed-methods approach will be deployed, prioritizing qualitative depth within the Bangkok context:</w:t>
      </w:r>
    </w:p>
    <w:p>
      <w:pPr>
        <w:numPr>
          <w:ilvl w:val="0"/>
          <w:numId w:val="1002"/>
        </w:numPr>
        <w:pStyle w:val="Compact"/>
      </w:pPr>
      <w:r>
        <w:rPr>
          <w:bCs/>
          <w:b/>
        </w:rPr>
        <w:t xml:space="preserve">Phase 1 (Qualitative):</w:t>
      </w:r>
      <w:r>
        <w:t xml:space="preserve"> </w:t>
      </w:r>
      <w:r>
        <w:t xml:space="preserve">Semi-structured interviews with 40 practicing Lawyers across Bangkok's legal spectrum (15 public defenders, 15 corporate practitioners, and 10 specialists in IP/fintech), stratified by experience and firm type. This will capture nuanced challenges unmeasurable through surveys.</w:t>
      </w:r>
    </w:p>
    <w:p>
      <w:pPr>
        <w:numPr>
          <w:ilvl w:val="0"/>
          <w:numId w:val="1002"/>
        </w:numPr>
        <w:pStyle w:val="Compact"/>
      </w:pPr>
      <w:r>
        <w:rPr>
          <w:bCs/>
          <w:b/>
        </w:rPr>
        <w:t xml:space="preserve">Phase 2 (Quantitative):</w:t>
      </w:r>
      <w:r>
        <w:t xml:space="preserve"> </w:t>
      </w:r>
      <w:r>
        <w:t xml:space="preserve">A structured questionnaire distributed to all 6,842 licensed Lawyers registered with the Bangkok Bar Association, measuring tech adoption rates, caseload metrics, and perceived ethical conflicts.</w:t>
      </w:r>
    </w:p>
    <w:p>
      <w:pPr>
        <w:numPr>
          <w:ilvl w:val="0"/>
          <w:numId w:val="1002"/>
        </w:numPr>
        <w:pStyle w:val="Compact"/>
      </w:pPr>
      <w:r>
        <w:rPr>
          <w:bCs/>
          <w:b/>
        </w:rPr>
        <w:t xml:space="preserve">Phase 3 (Contextual Analysis):</w:t>
      </w:r>
      <w:r>
        <w:t xml:space="preserve"> </w:t>
      </w:r>
      <w:r>
        <w:t xml:space="preserve">Document review of court records from Bangkok's Civil Court No. 1 (handling 52% of commercial cases) and comparative analysis with Singapore's legal market to contextualize Bangkok's position in ASEAN.</w:t>
      </w:r>
    </w:p>
    <w:p>
      <w:pPr>
        <w:pStyle w:val="FirstParagraph"/>
      </w:pPr>
      <w:r>
        <w:t xml:space="preserve">Research ethics will be rigorously maintained through anonymized data collection and approval from Chulalongkorn University's IRB. Data triangulation will ensure validity, with thematic analysis using NVivo software for qualitative insights.</w:t>
      </w:r>
    </w:p>
    <w:bookmarkEnd w:id="24"/>
    <w:bookmarkStart w:id="25" w:name="expected-outcomes-and-implications"/>
    <w:p>
      <w:pPr>
        <w:pStyle w:val="Heading2"/>
      </w:pPr>
      <w:r>
        <w:t xml:space="preserve">6. Expected Outcomes and Implications</w:t>
      </w:r>
    </w:p>
    <w:p>
      <w:pPr>
        <w:pStyle w:val="FirstParagraph"/>
      </w:pPr>
      <w:r>
        <w:t xml:space="preserve">This research will yield three key deliverables with immediate relevance to Thailand's legal landscape:</w:t>
      </w:r>
    </w:p>
    <w:p>
      <w:pPr>
        <w:numPr>
          <w:ilvl w:val="0"/>
          <w:numId w:val="1003"/>
        </w:numPr>
        <w:pStyle w:val="Compact"/>
      </w:pPr>
      <w:r>
        <w:t xml:space="preserve">A comprehensive report detailing Bangkok-specific professional challenges, including a proposed "Bangkok Lawyer Competency Framework" for continuing education.</w:t>
      </w:r>
    </w:p>
    <w:p>
      <w:pPr>
        <w:numPr>
          <w:ilvl w:val="0"/>
          <w:numId w:val="1003"/>
        </w:numPr>
        <w:pStyle w:val="Compact"/>
      </w:pPr>
      <w:r>
        <w:t xml:space="preserve">Policy briefs for the Thai Ministry of Justice on optimizing judicial resources and regulating legal tech tools in alignment with Thai cultural context.</w:t>
      </w:r>
    </w:p>
    <w:p>
      <w:pPr>
        <w:numPr>
          <w:ilvl w:val="0"/>
          <w:numId w:val="1003"/>
        </w:numPr>
        <w:pStyle w:val="Compact"/>
      </w:pPr>
      <w:r>
        <w:t xml:space="preserve">An academic publication in the International Journal of Legal Studies analyzing how urban legal ecosystems adapt to globalization—a model applicable to other Asian metropolises.</w:t>
      </w:r>
    </w:p>
    <w:p>
      <w:pPr>
        <w:pStyle w:val="FirstParagraph"/>
      </w:pPr>
      <w:r>
        <w:t xml:space="preserve">Crucially, findings will directly support the 2023 National Legal Reform Strategy, particularly its goal to "modernize legal services for Bangkok's economic role." For practitioners, results may reduce burnout through evidence-based workload guidelines. For Thailand as a destination for foreign investment, clear insights into Bangkok's legal efficiency could enhance the country's competitiveness.</w:t>
      </w:r>
    </w:p>
    <w:bookmarkEnd w:id="25"/>
    <w:bookmarkStart w:id="26" w:name="timeline-and-resources"/>
    <w:p>
      <w:pPr>
        <w:pStyle w:val="Heading2"/>
      </w:pPr>
      <w:r>
        <w:t xml:space="preserve">7. Timeline and Resources</w:t>
      </w:r>
    </w:p>
    <w:p>
      <w:pPr>
        <w:pStyle w:val="FirstParagraph"/>
      </w:pPr>
      <w:r>
        <w:t xml:space="preserve">The 18-month project will adhere to this timeline:</w:t>
      </w:r>
    </w:p>
    <w:p>
      <w:pPr>
        <w:numPr>
          <w:ilvl w:val="0"/>
          <w:numId w:val="1004"/>
        </w:numPr>
        <w:pStyle w:val="Compact"/>
      </w:pPr>
      <w:r>
        <w:rPr>
          <w:bCs/>
          <w:b/>
        </w:rPr>
        <w:t xml:space="preserve">Months 1-3:</w:t>
      </w:r>
      <w:r>
        <w:t xml:space="preserve"> </w:t>
      </w:r>
      <w:r>
        <w:t xml:space="preserve">Finalize ethics approvals, develop instruments, recruit interviewees across Bangkok districts (Pathumwan, Rattanakosin, Sathon).</w:t>
      </w:r>
    </w:p>
    <w:p>
      <w:pPr>
        <w:numPr>
          <w:ilvl w:val="0"/>
          <w:numId w:val="1004"/>
        </w:numPr>
        <w:pStyle w:val="Compact"/>
      </w:pPr>
      <w:r>
        <w:rPr>
          <w:bCs/>
          <w:b/>
        </w:rPr>
        <w:t xml:space="preserve">Months 4-10:</w:t>
      </w:r>
      <w:r>
        <w:t xml:space="preserve"> </w:t>
      </w:r>
      <w:r>
        <w:t xml:space="preserve">Data collection (interviews in person/online; questionnaire deployment via Bar Association channels).</w:t>
      </w:r>
    </w:p>
    <w:p>
      <w:pPr>
        <w:numPr>
          <w:ilvl w:val="0"/>
          <w:numId w:val="1004"/>
        </w:numPr>
        <w:pStyle w:val="Compact"/>
      </w:pPr>
      <w:r>
        <w:rPr>
          <w:bCs/>
          <w:b/>
        </w:rPr>
        <w:t xml:space="preserve">Months 11-15:</w:t>
      </w:r>
      <w:r>
        <w:t xml:space="preserve"> </w:t>
      </w:r>
      <w:r>
        <w:t xml:space="preserve">Data analysis and draft reporting.</w:t>
      </w:r>
    </w:p>
    <w:p>
      <w:pPr>
        <w:numPr>
          <w:ilvl w:val="0"/>
          <w:numId w:val="1004"/>
        </w:numPr>
        <w:pStyle w:val="Compact"/>
      </w:pPr>
      <w:r>
        <w:rPr>
          <w:bCs/>
          <w:b/>
        </w:rPr>
        <w:t xml:space="preserve">Months 16-18:</w:t>
      </w:r>
      <w:r>
        <w:t xml:space="preserve"> </w:t>
      </w:r>
      <w:r>
        <w:t xml:space="preserve">Stakeholder workshops with Bangkok Bar Association, policy drafting, final report submission.</w:t>
      </w:r>
    </w:p>
    <w:p>
      <w:pPr>
        <w:pStyle w:val="FirstParagraph"/>
      </w:pPr>
      <w:r>
        <w:t xml:space="preserve">A budget of $42,000 USD will cover researcher stipends ($25k), translation services for Thai-language interviews ($7k), travel to Bangkok legal districts ($5k), and open-access publication fees ($5k). All resources will be allocated to ensure broad representation across Bangkok's professional geography.</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Research Proposal</w:t>
      </w:r>
      <w:r>
        <w:t xml:space="preserve"> </w:t>
      </w:r>
      <w:r>
        <w:t xml:space="preserve">responds to an urgent need for evidence-based understanding of how a Lawyer operates in the complex heart of modern Thailand. By centering the unique pressures and innovations within</w:t>
      </w:r>
      <w:r>
        <w:t xml:space="preserve"> </w:t>
      </w:r>
      <w:r>
        <w:rPr>
          <w:bCs/>
          <w:b/>
        </w:rPr>
        <w:t xml:space="preserve">Thailand Bangkok</w:t>
      </w:r>
      <w:r>
        <w:t xml:space="preserve">, this study transcends academic inquiry to deliver practical tools for strengthening justice delivery in one of Asia's most consequential cities. The insights generated will empower legal professionals to navigate Thailand's evolving legal terrain with greater efficacy, while providing policymakers with data to build a more responsive system. As Bangkok continues to shape Southeast Asia's legal future, this research positions the role of the Lawyer not merely as a defender of rights, but as a pivotal architect of equitable and efficient urban justice.</w:t>
      </w:r>
    </w:p>
    <w:bookmarkEnd w:id="27"/>
    <w:bookmarkStart w:id="28" w:name="references"/>
    <w:p>
      <w:pPr>
        <w:pStyle w:val="Heading2"/>
      </w:pPr>
      <w:r>
        <w:t xml:space="preserve">References</w:t>
      </w:r>
    </w:p>
    <w:p>
      <w:pPr>
        <w:pStyle w:val="FirstParagraph"/>
      </w:pPr>
      <w:r>
        <w:t xml:space="preserve">Phiphat, N., &amp; Vilaichone, S. (2015). *Legal Reform in Contemporary Thailand*. Chulalongkorn UP.</w:t>
      </w:r>
      <w:r>
        <w:br/>
      </w:r>
      <w:r>
        <w:t xml:space="preserve">Wong, M. (2018). "ASEAN Legal Integration: Challenges for Bangkok." *ASEAN Law Journal*, 7(2), 45-67.</w:t>
      </w:r>
      <w:r>
        <w:br/>
      </w:r>
      <w:r>
        <w:t xml:space="preserve">Chaiyaporn, S. (2020). Judicial Corruption in Thailand: A Case Study of Bangkok Courts. *Journal of Southeast Asian Law*, 19(1), 88-105.</w:t>
      </w:r>
      <w:r>
        <w:br/>
      </w:r>
      <w:r>
        <w:t xml:space="preserve">Thailand Chamber of Commerce. (2023). *Legal Services Market Report: Bangkok*.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Lawyer in Thailand Bangkok</dc:title>
  <dc:creator/>
  <dc:language>en</dc:language>
  <cp:keywords/>
  <dcterms:created xsi:type="dcterms:W3CDTF">2026-07-23T13:48:03Z</dcterms:created>
  <dcterms:modified xsi:type="dcterms:W3CDTF">2026-07-23T13:48:03Z</dcterms:modified>
</cp:coreProperties>
</file>

<file path=docProps/custom.xml><?xml version="1.0" encoding="utf-8"?>
<Properties xmlns="http://schemas.openxmlformats.org/officeDocument/2006/custom-properties" xmlns:vt="http://schemas.openxmlformats.org/officeDocument/2006/docPropsVTypes"/>
</file>