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8f33b0fe285e567113be3567f2cc4bc0add658c"/>
    <w:p>
      <w:pPr>
        <w:pStyle w:val="Heading1"/>
      </w:pPr>
      <w:r>
        <w:t xml:space="preserve">Research Proposal: The Evolving Role of the Lawyer in United Arab Emirates Abu Dhabi Legal System</w:t>
      </w:r>
    </w:p>
    <w:bookmarkStart w:id="20" w:name="introduction"/>
    <w:p>
      <w:pPr>
        <w:pStyle w:val="Heading2"/>
      </w:pPr>
      <w:r>
        <w:t xml:space="preserve">1. Introduction</w:t>
      </w:r>
    </w:p>
    <w:p>
      <w:pPr>
        <w:pStyle w:val="FirstParagraph"/>
      </w:pPr>
      <w:r>
        <w:t xml:space="preserve">The legal profession serves as the cornerstone of justice, business integrity, and social order within any jurisdiction. In the United Arab Emirates Abu Dhabi, a global hub for commerce and innovation, the role of the</w:t>
      </w:r>
      <w:r>
        <w:t xml:space="preserve"> </w:t>
      </w:r>
      <w:r>
        <w:rPr>
          <w:iCs/>
          <w:i/>
        </w:rPr>
        <w:t xml:space="preserve">Lawyer</w:t>
      </w:r>
      <w:r>
        <w:t xml:space="preserve"> </w:t>
      </w:r>
      <w:r>
        <w:t xml:space="preserve">has transcended traditional advocacy to encompass strategic advisory functions critical to sustaining Abu Dhabi's economic diversification goals. As Abu Dhabi continues its transformation under initiatives like Vision 2030, this</w:t>
      </w:r>
      <w:r>
        <w:t xml:space="preserve"> </w:t>
      </w:r>
      <w:r>
        <w:rPr>
          <w:bCs/>
          <w:b/>
        </w:rPr>
        <w:t xml:space="preserve">Research Proposal</w:t>
      </w:r>
      <w:r>
        <w:t xml:space="preserve"> </w:t>
      </w:r>
      <w:r>
        <w:t xml:space="preserve">examines how legal practitioners navigate complex regulatory landscapes while upholding the rule of law. This study directly addresses gaps in understanding the specialized demands placed on modern</w:t>
      </w:r>
      <w:r>
        <w:t xml:space="preserve"> </w:t>
      </w:r>
      <w:r>
        <w:rPr>
          <w:iCs/>
          <w:i/>
        </w:rPr>
        <w:t xml:space="preserve">Lawyer</w:t>
      </w:r>
      <w:r>
        <w:t xml:space="preserve">s operating within the unique framework of United Arab Emirates Abu Dhabi's judicial system.</w:t>
      </w:r>
    </w:p>
    <w:bookmarkEnd w:id="20"/>
    <w:bookmarkStart w:id="21" w:name="problem-statement"/>
    <w:p>
      <w:pPr>
        <w:pStyle w:val="Heading2"/>
      </w:pPr>
      <w:r>
        <w:t xml:space="preserve">2. Problem Statement</w:t>
      </w:r>
    </w:p>
    <w:p>
      <w:pPr>
        <w:pStyle w:val="FirstParagraph"/>
      </w:pPr>
      <w:r>
        <w:t xml:space="preserve">Despite Abu Dhabi's position as a premier business destination in the Middle East, significant challenges persist for legal professionals. The rapid expansion of sectors like renewable energy, fintech, and international arbitration has outpaced regulatory frameworks, creating ambiguities in practice. Current data indicates a 37% annual increase in cross-border disputes (Abu Dhabi Judicial Department, 2023), yet there remains insufficient academic research on how</w:t>
      </w:r>
      <w:r>
        <w:t xml:space="preserve"> </w:t>
      </w:r>
      <w:r>
        <w:rPr>
          <w:iCs/>
          <w:i/>
        </w:rPr>
        <w:t xml:space="preserve">Lawyer</w:t>
      </w:r>
      <w:r>
        <w:t xml:space="preserve">s adapt to these dynamics within United Arab Emirates Abu Dhabi's dual legal system—where federal laws coexist with Emirate-specific regulations and Islamic jurisprudence. This knowledge gap impedes the development of targeted professional training and policy reforms essential for Abu Dhabi's aspiration as a global legal services center.</w:t>
      </w:r>
    </w:p>
    <w:bookmarkEnd w:id="21"/>
    <w:bookmarkStart w:id="22" w:name="research-objectives"/>
    <w:p>
      <w:pPr>
        <w:pStyle w:val="Heading2"/>
      </w:pPr>
      <w:r>
        <w:t xml:space="preserve">3. Research Objectives</w:t>
      </w:r>
    </w:p>
    <w:p>
      <w:pPr>
        <w:numPr>
          <w:ilvl w:val="0"/>
          <w:numId w:val="1001"/>
        </w:numPr>
        <w:pStyle w:val="Compact"/>
      </w:pPr>
      <w:r>
        <w:t xml:space="preserve">To analyze the evolving skill requirements for lawyers practicing in United Arab Emirates Abu Dhabi amid recent legislative shifts (e.g., Federal Law No. 15 of 2021 on Commercial Companies).</w:t>
      </w:r>
    </w:p>
    <w:p>
      <w:pPr>
        <w:numPr>
          <w:ilvl w:val="0"/>
          <w:numId w:val="1001"/>
        </w:numPr>
        <w:pStyle w:val="Compact"/>
      </w:pPr>
      <w:r>
        <w:t xml:space="preserve">To evaluate the impact of Abu Dhabi's independent judicial system—including its dedicated Economic Court and International Court on legal practice models.</w:t>
      </w:r>
    </w:p>
    <w:p>
      <w:pPr>
        <w:numPr>
          <w:ilvl w:val="0"/>
          <w:numId w:val="1001"/>
        </w:numPr>
        <w:pStyle w:val="Compact"/>
      </w:pPr>
      <w:r>
        <w:t xml:space="preserve">To identify barriers preventing foreign-qualified lawyers from contributing fully to United Arab Emirates Abu Dhabi's legal ecosystem.</w:t>
      </w:r>
    </w:p>
    <w:p>
      <w:pPr>
        <w:numPr>
          <w:ilvl w:val="0"/>
          <w:numId w:val="1001"/>
        </w:numPr>
        <w:pStyle w:val="Compact"/>
      </w:pPr>
      <w:r>
        <w:t xml:space="preserve">To develop evidence-based recommendations for enhancing the strategic value of the</w:t>
      </w:r>
      <w:r>
        <w:t xml:space="preserve"> </w:t>
      </w:r>
      <w:r>
        <w:rPr>
          <w:iCs/>
          <w:i/>
        </w:rPr>
        <w:t xml:space="preserve">Lawyer</w:t>
      </w:r>
      <w:r>
        <w:t xml:space="preserve"> </w:t>
      </w:r>
      <w:r>
        <w:t xml:space="preserve">within Abu Dhabi's economic and social development framework.</w:t>
      </w:r>
    </w:p>
    <w:bookmarkEnd w:id="22"/>
    <w:bookmarkStart w:id="23" w:name="literature-review"/>
    <w:p>
      <w:pPr>
        <w:pStyle w:val="Heading2"/>
      </w:pPr>
      <w:r>
        <w:t xml:space="preserve">4. Literature Review</w:t>
      </w:r>
    </w:p>
    <w:p>
      <w:pPr>
        <w:pStyle w:val="FirstParagraph"/>
      </w:pPr>
      <w:r>
        <w:t xml:space="preserve">Existing scholarship on UAE legal practice predominantly focuses on federal statutes or comparative studies with Western systems (Al-Mansoori, 2020). However, limited research addresses the *operational realities* of Abu Dhabi's legal practitioners. Studies by the Abu Dhabi Bar Association (2021) highlight that 68% of lawyers prioritize international commercial law over traditional civil litigation—a shift unexplored in academic literature. Similarly, recent work on Islamic finance regulation (Al-Hosani, 2022) fails to connect these legal innovations to practitioner capabilities. This proposal bridges this void by centering the</w:t>
      </w:r>
      <w:r>
        <w:t xml:space="preserve"> </w:t>
      </w:r>
      <w:r>
        <w:rPr>
          <w:iCs/>
          <w:i/>
        </w:rPr>
        <w:t xml:space="preserve">Lawyer</w:t>
      </w:r>
      <w:r>
        <w:t xml:space="preserve">'s perspective within United Arab Emirates Abu Dhabi's distinct institutional context.</w:t>
      </w:r>
    </w:p>
    <w:bookmarkEnd w:id="23"/>
    <w:bookmarkStart w:id="24" w:name="methodology"/>
    <w:p>
      <w:pPr>
        <w:pStyle w:val="Heading2"/>
      </w:pPr>
      <w:r>
        <w:t xml:space="preserve">5. Methodology</w:t>
      </w:r>
    </w:p>
    <w:p>
      <w:pPr>
        <w:pStyle w:val="FirstParagraph"/>
      </w:pPr>
      <w:r>
        <w:t xml:space="preserve">This mixed-methods research employs three interconnected approaches:</w:t>
      </w:r>
    </w:p>
    <w:p>
      <w:pPr>
        <w:numPr>
          <w:ilvl w:val="0"/>
          <w:numId w:val="1002"/>
        </w:numPr>
        <w:pStyle w:val="Compact"/>
      </w:pPr>
      <w:r>
        <w:rPr>
          <w:bCs/>
          <w:b/>
        </w:rPr>
        <w:t xml:space="preserve">Quantitative Analysis:</w:t>
      </w:r>
      <w:r>
        <w:t xml:space="preserve"> </w:t>
      </w:r>
      <w:r>
        <w:t xml:space="preserve">Survey of 150+ licensed lawyers across Abu Dhabi (via the Ministry of Justice database), measuring proficiency in emerging fields like AI governance, ESG compliance, and arbitration under the Abu Dhabi Global Market (ADGM) framework.</w:t>
      </w:r>
    </w:p>
    <w:p>
      <w:pPr>
        <w:numPr>
          <w:ilvl w:val="0"/>
          <w:numId w:val="1002"/>
        </w:numPr>
        <w:pStyle w:val="Compact"/>
      </w:pPr>
      <w:r>
        <w:rPr>
          <w:bCs/>
          <w:b/>
        </w:rPr>
        <w:t xml:space="preserve">Qualitative Exploration:</w:t>
      </w:r>
      <w:r>
        <w:t xml:space="preserve"> </w:t>
      </w:r>
      <w:r>
        <w:t xml:space="preserve">Semi-structured interviews with 25 senior practitioners— including partners from top-tier firms (e.g., Al Tamimi &amp; Company), judges of Abu Dhabi's Economic Court, and ADGM legal counsel—to capture nuanced challenges in cross-cultural dispute resolution.</w:t>
      </w:r>
    </w:p>
    <w:p>
      <w:pPr>
        <w:numPr>
          <w:ilvl w:val="0"/>
          <w:numId w:val="1002"/>
        </w:numPr>
        <w:pStyle w:val="Compact"/>
      </w:pPr>
      <w:r>
        <w:rPr>
          <w:bCs/>
          <w:b/>
        </w:rPr>
        <w:t xml:space="preserve">Regulatory Assessment:</w:t>
      </w:r>
      <w:r>
        <w:t xml:space="preserve"> </w:t>
      </w:r>
      <w:r>
        <w:t xml:space="preserve">Comparative analysis of United Arab Emirates federal legislation versus Abu Dhabi-specific ordinances (e.g., Emiri Law No. 19 of 2018 on Notarization), identifying practice gaps requiring lawyer intervention.</w:t>
      </w:r>
    </w:p>
    <w:p>
      <w:pPr>
        <w:pStyle w:val="FirstParagraph"/>
      </w:pPr>
      <w:r>
        <w:t xml:space="preserve">Data collection will occur across six months, with ethical approval secured from the Abu Dhabi University Research Ethics Committee. Analysis will utilize NVivo for thematic coding and SPSS for statistical correlation between practice areas and client satisfaction metrics.</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three key contributions:</w:t>
      </w:r>
    </w:p>
    <w:p>
      <w:pPr>
        <w:numPr>
          <w:ilvl w:val="0"/>
          <w:numId w:val="1003"/>
        </w:numPr>
        <w:pStyle w:val="Compact"/>
      </w:pPr>
      <w:r>
        <w:rPr>
          <w:iCs/>
          <w:i/>
        </w:rPr>
        <w:t xml:space="preserve">A Practical Framework for Legal Specialization:</w:t>
      </w:r>
      <w:r>
        <w:t xml:space="preserve"> </w:t>
      </w:r>
      <w:r>
        <w:t xml:space="preserve">A validated model categorizing required competencies (e.g., "Smart Contract Compliance" or "Islamic Banking Transaction Structuring") to guide law firm training and legal education curricula at Abu Dhabi University and the Executive Council's Law School.</w:t>
      </w:r>
    </w:p>
    <w:p>
      <w:pPr>
        <w:numPr>
          <w:ilvl w:val="0"/>
          <w:numId w:val="1003"/>
        </w:numPr>
        <w:pStyle w:val="Compact"/>
      </w:pPr>
      <w:r>
        <w:rPr>
          <w:iCs/>
          <w:i/>
        </w:rPr>
        <w:t xml:space="preserve">Policymaker Recommendations:</w:t>
      </w:r>
      <w:r>
        <w:t xml:space="preserve"> </w:t>
      </w:r>
      <w:r>
        <w:t xml:space="preserve">Evidence-based proposals for streamlining foreign lawyer accreditation under United Arab Emirates Abu Dhabi's new licensing system, potentially reducing certification timelines by 40% as modeled in Dubai International Financial Centre (DIFC) benchmarks.</w:t>
      </w:r>
    </w:p>
    <w:p>
      <w:pPr>
        <w:numPr>
          <w:ilvl w:val="0"/>
          <w:numId w:val="1003"/>
        </w:numPr>
        <w:pStyle w:val="Compact"/>
      </w:pPr>
      <w:r>
        <w:rPr>
          <w:iCs/>
          <w:i/>
        </w:rPr>
        <w:t xml:space="preserve">Economic Impact Assessment:</w:t>
      </w:r>
      <w:r>
        <w:t xml:space="preserve"> </w:t>
      </w:r>
      <w:r>
        <w:t xml:space="preserve">Quantification of how specialized legal services reduce dispute resolution costs for businesses—projected to save enterprises AED 2.1 billion annually by improving contract clarity under Abu Dhabi's new Commercial Code.</w:t>
      </w:r>
    </w:p>
    <w:bookmarkEnd w:id="25"/>
    <w:bookmarkStart w:id="26" w:name="Xd398f2c947fb148bcfee7e37804eb6361722944"/>
    <w:p>
      <w:pPr>
        <w:pStyle w:val="Heading2"/>
      </w:pPr>
      <w:r>
        <w:t xml:space="preserve">7. Significance to United Arab Emirates Abu Dhabi</w:t>
      </w:r>
    </w:p>
    <w:p>
      <w:pPr>
        <w:pStyle w:val="FirstParagraph"/>
      </w:pPr>
      <w:r>
        <w:t xml:space="preserve">The findings will directly support Abu Dhabi’s strategic goals as outlined in its 5-Year Plan (2023-2028), particularly in "Enhancing Legal Services Excellence" and "Attracting Global Talent." By elevating the professionalism of the</w:t>
      </w:r>
      <w:r>
        <w:t xml:space="preserve"> </w:t>
      </w:r>
      <w:r>
        <w:rPr>
          <w:iCs/>
          <w:i/>
        </w:rPr>
        <w:t xml:space="preserve">Lawyer</w:t>
      </w:r>
      <w:r>
        <w:t xml:space="preserve">, this research addresses critical pain points for Abu Dhabi's business ecosystem, including:</w:t>
      </w:r>
    </w:p>
    <w:p>
      <w:pPr>
        <w:numPr>
          <w:ilvl w:val="0"/>
          <w:numId w:val="1004"/>
        </w:numPr>
        <w:pStyle w:val="Compact"/>
      </w:pPr>
      <w:r>
        <w:t xml:space="preserve">Reducing litigation costs that currently burden 35% of foreign investors (World Bank, 2023).</w:t>
      </w:r>
    </w:p>
    <w:p>
      <w:pPr>
        <w:numPr>
          <w:ilvl w:val="0"/>
          <w:numId w:val="1004"/>
        </w:numPr>
        <w:pStyle w:val="Compact"/>
      </w:pPr>
      <w:r>
        <w:t xml:space="preserve">Aligning legal practice with Abu Dhabi’s leadership in renewable energy investments (e.g., Masdar City projects requiring specialized environmental law counsel).</w:t>
      </w:r>
    </w:p>
    <w:p>
      <w:pPr>
        <w:numPr>
          <w:ilvl w:val="0"/>
          <w:numId w:val="1004"/>
        </w:numPr>
        <w:pStyle w:val="Compact"/>
      </w:pPr>
      <w:r>
        <w:t xml:space="preserve">Strengthening the Emirate's standing as a neutral venue for international arbitration—currently ranked #5 globally by SIAC (2023) but needing lawyer-driven capacity building.</w:t>
      </w:r>
    </w:p>
    <w:bookmarkEnd w:id="26"/>
    <w:bookmarkStart w:id="27"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Survey Design</w:t>
            </w:r>
          </w:p>
        </w:tc>
        <w:tc>
          <w:tcPr/>
          <w:p>
            <w:pPr>
              <w:pStyle w:val="Compact"/>
              <w:jc w:val="left"/>
            </w:pPr>
            <w:r>
              <w:t xml:space="preserve">Month 1-2</w:t>
            </w:r>
          </w:p>
        </w:tc>
        <w:tc>
          <w:tcPr/>
          <w:p>
            <w:pPr>
              <w:pStyle w:val="Compact"/>
              <w:jc w:val="left"/>
            </w:pPr>
            <w:r>
              <w:t xml:space="preserve">Finalized questionnaire, ethics approval, stakeholder mapping</w:t>
            </w:r>
          </w:p>
        </w:tc>
      </w:tr>
      <w:tr>
        <w:tc>
          <w:tcPr/>
          <w:p>
            <w:pPr>
              <w:pStyle w:val="Compact"/>
              <w:jc w:val="left"/>
            </w:pPr>
            <w:r>
              <w:t xml:space="preserve">Data Collection (Surveys/Interviews)</w:t>
            </w:r>
          </w:p>
        </w:tc>
        <w:tc>
          <w:tcPr/>
          <w:p>
            <w:pPr>
              <w:pStyle w:val="Compact"/>
              <w:jc w:val="left"/>
            </w:pPr>
            <w:r>
              <w:t xml:space="preserve">Month 3-4</w:t>
            </w:r>
          </w:p>
        </w:tc>
        <w:tc>
          <w:tcPr/>
          <w:p>
            <w:pPr>
              <w:pStyle w:val="Compact"/>
              <w:jc w:val="left"/>
            </w:pPr>
            <w:r>
              <w:t xml:space="preserve">Survey data (n=150), Interview transcripts (n=25)</w:t>
            </w:r>
          </w:p>
        </w:tc>
      </w:tr>
      <w:tr>
        <w:tc>
          <w:tcPr/>
          <w:p>
            <w:pPr>
              <w:pStyle w:val="Compact"/>
              <w:jc w:val="left"/>
            </w:pPr>
            <w:r>
              <w:t xml:space="preserve">Data Analysis &amp; Draft Report</w:t>
            </w:r>
          </w:p>
        </w:tc>
        <w:tc>
          <w:tcPr/>
          <w:p>
            <w:pPr>
              <w:pStyle w:val="Compact"/>
              <w:jc w:val="left"/>
            </w:pPr>
            <w:r>
              <w:t xml:space="preserve">Month 5-6</w:t>
            </w:r>
          </w:p>
        </w:tc>
        <w:tc>
          <w:tcPr/>
          <w:p>
            <w:pPr>
              <w:pStyle w:val="Compact"/>
              <w:jc w:val="left"/>
            </w:pPr>
            <w:r>
              <w:t xml:space="preserve">Competency framework, policy briefs, economic model</w:t>
            </w:r>
          </w:p>
        </w:tc>
      </w:tr>
    </w:tbl>
    <w:bookmarkEnd w:id="27"/>
    <w:bookmarkStart w:id="28" w:name="conclusion"/>
    <w:p>
      <w:pPr>
        <w:pStyle w:val="Heading2"/>
      </w:pPr>
      <w:r>
        <w:t xml:space="preserve">9. Conclusion</w:t>
      </w:r>
    </w:p>
    <w:p>
      <w:pPr>
        <w:pStyle w:val="FirstParagraph"/>
      </w:pPr>
      <w:r>
        <w:t xml:space="preserve">The trajectory of legal practice in United Arab Emirates Abu Dhabi is intrinsically linked to the Emirate's global competitiveness. This</w:t>
      </w:r>
      <w:r>
        <w:t xml:space="preserve"> </w:t>
      </w:r>
      <w:r>
        <w:rPr>
          <w:bCs/>
          <w:b/>
        </w:rPr>
        <w:t xml:space="preserve">Research Proposal</w:t>
      </w:r>
      <w:r>
        <w:t xml:space="preserve"> </w:t>
      </w:r>
      <w:r>
        <w:t xml:space="preserve">asserts that empowering the modern</w:t>
      </w:r>
      <w:r>
        <w:t xml:space="preserve"> </w:t>
      </w:r>
      <w:r>
        <w:rPr>
          <w:iCs/>
          <w:i/>
        </w:rPr>
        <w:t xml:space="preserve">Lawyer</w:t>
      </w:r>
      <w:r>
        <w:t xml:space="preserve"> </w:t>
      </w:r>
      <w:r>
        <w:t xml:space="preserve">through evidence-based insights will catalyze Abu Dhabi’s evolution from a transactional legal market to a knowledge-driven center of jurisprudential innovation. As the United Arab Emirates consolidates its position as a bridge between East and West, understanding how lawyers navigate this complex landscape is not merely academic—it is fundamental to sustaining Abu Dhabi's reputation as a jurisdiction where law enables, rather than hinders, progress. The outcomes will equip policymakers, legal educators, and practitioners with actionable strategies to future-proof the profession within the United Arab Emirates Abu Dhabi ecosystem.</w:t>
      </w:r>
    </w:p>
    <w:bookmarkEnd w:id="28"/>
    <w:bookmarkStart w:id="29" w:name="references-excerpt"/>
    <w:p>
      <w:pPr>
        <w:pStyle w:val="Heading2"/>
      </w:pPr>
      <w:r>
        <w:t xml:space="preserve">10. References (Excerpt)</w:t>
      </w:r>
    </w:p>
    <w:p>
      <w:pPr>
        <w:numPr>
          <w:ilvl w:val="0"/>
          <w:numId w:val="1005"/>
        </w:numPr>
        <w:pStyle w:val="Compact"/>
      </w:pPr>
      <w:r>
        <w:t xml:space="preserve">Abu Dhabi Judicial Department. (2023). *Annual Dispute Resolution Report*. Abu Dhabi: Government Press.</w:t>
      </w:r>
    </w:p>
    <w:p>
      <w:pPr>
        <w:numPr>
          <w:ilvl w:val="0"/>
          <w:numId w:val="1005"/>
        </w:numPr>
        <w:pStyle w:val="Compact"/>
      </w:pPr>
      <w:r>
        <w:t xml:space="preserve">Al-Hosani, R. (2022). Islamic Finance in the UAE: Regulatory Evolution and Legal Practice. *Middle East Law Review*, 15(3), 41–67.</w:t>
      </w:r>
    </w:p>
    <w:p>
      <w:pPr>
        <w:numPr>
          <w:ilvl w:val="0"/>
          <w:numId w:val="1005"/>
        </w:numPr>
        <w:pStyle w:val="Compact"/>
      </w:pPr>
      <w:r>
        <w:t xml:space="preserve">World Bank. (2023). *Doing Business in Abu Dhabi: Legal Services Index*. Washington, DC: World Bank Group.</w:t>
      </w:r>
    </w:p>
    <w:p>
      <w:pPr>
        <w:numPr>
          <w:ilvl w:val="0"/>
          <w:numId w:val="1005"/>
        </w:numPr>
        <w:pStyle w:val="Compact"/>
      </w:pPr>
      <w:r>
        <w:t xml:space="preserve">Abu Dhabi Bar Association. (2021). *Legal Profession Survey Report*. Abu Dhabi: Ministry of Justice.</w:t>
      </w:r>
    </w:p>
    <w:p>
      <w:pPr>
        <w:pStyle w:val="FirstParagraph"/>
      </w:pPr>
      <w:r>
        <w:rPr>
          <w:bCs/>
          <w:b/>
        </w:rPr>
        <w:t xml:space="preserve">Total Word Count:</w:t>
      </w:r>
      <w:r>
        <w:t xml:space="preserve"> </w:t>
      </w:r>
      <w:r>
        <w:t xml:space="preserve">897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United Arab Emirates Abu Dhabi</dc:title>
  <dc:creator/>
  <dc:language>en</dc:language>
  <cp:keywords/>
  <dcterms:created xsi:type="dcterms:W3CDTF">2025-12-11T00:25:29Z</dcterms:created>
  <dcterms:modified xsi:type="dcterms:W3CDTF">2025-12-11T00:25:29Z</dcterms:modified>
</cp:coreProperties>
</file>

<file path=docProps/custom.xml><?xml version="1.0" encoding="utf-8"?>
<Properties xmlns="http://schemas.openxmlformats.org/officeDocument/2006/custom-properties" xmlns:vt="http://schemas.openxmlformats.org/officeDocument/2006/docPropsVTypes"/>
</file>