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Legal</w:t>
      </w:r>
      <w:r>
        <w:t xml:space="preserve"> </w:t>
      </w:r>
      <w:r>
        <w:t xml:space="preserve">Landscape</w:t>
      </w:r>
    </w:p>
    <w:bookmarkStart w:id="29" w:name="X10a6ffdfd6b6d95405ec0346e306ef5c1941b66"/>
    <w:p>
      <w:pPr>
        <w:pStyle w:val="Heading1"/>
      </w:pPr>
      <w:r>
        <w:t xml:space="preserve">Research Proposal: The Evolving Role of the Lawyer in the United Arab Emirates Dubai Legal Landscape</w:t>
      </w:r>
    </w:p>
    <w:bookmarkStart w:id="20" w:name="abstract"/>
    <w:p>
      <w:pPr>
        <w:pStyle w:val="Heading2"/>
      </w:pPr>
      <w:r>
        <w:t xml:space="preserve">Abstract</w:t>
      </w:r>
    </w:p>
    <w:p>
      <w:pPr>
        <w:pStyle w:val="FirstParagraph"/>
      </w:pPr>
      <w:r>
        <w:t xml:space="preserve">This research proposal outlines a comprehensive study examining the dynamic role, professional challenges, and strategic adaptations of the Lawyer within the rapidly evolving legal ecosystem of Dubai, United Arab Emirates. As Dubai solidifies its position as a global hub for commerce, investment, and multicultural interaction within the United Arab Emirates Dubai framework, the demands on legal practitioners have intensified significantly. This study seeks to analyze how contemporary Lawyers navigate complex regulatory frameworks—including federal law, local Emirate regulations, and specialized free zone jurisdictions—while addressing emerging needs in international arbitration, fintech regulation, and cross-border dispute resolution. The research aims to produce actionable insights for legal education, professional development frameworks, and policy recommendations to enhance the efficacy of the legal profession in this pivotal jurisdiction.</w:t>
      </w:r>
    </w:p>
    <w:bookmarkEnd w:id="20"/>
    <w:bookmarkStart w:id="21" w:name="X93132d167ac63440eb93180c063dd0e85a0ed41"/>
    <w:p>
      <w:pPr>
        <w:pStyle w:val="Heading2"/>
      </w:pPr>
      <w:r>
        <w:t xml:space="preserve">1. Introduction: The Significance of the Lawyer in United Arab Emirates Dubai</w:t>
      </w:r>
    </w:p>
    <w:p>
      <w:pPr>
        <w:pStyle w:val="FirstParagraph"/>
      </w:pPr>
      <w:r>
        <w:t xml:space="preserve">The United Arab Emirates (UAE), particularly Dubai, has undergone a remarkable transformation from a regional trading hub into a globally recognized center for finance, real estate, tourism, and international business. This metamorphosis is underpinned by a sophisticated legal infrastructure designed to attract foreign investment and facilitate seamless cross-border transactions. Within this context, the role of the Lawyer is not merely advisory but fundamentally strategic to Dubai's economic success. The Lawyer operates within a unique confluence of legal traditions: civil law codification, Islamic (Sharia) principles governing personal status matters, and common law influences prevalent in specialized zones like the Dubai International Financial Centre (DIFC) and Dubai International Capital (DIC). This complex environment necessitates a nuanced understanding that transcends traditional legal practice. Understanding how the Lawyer adapts to this multifaceted jurisdiction is critical for sustaining Dubai’s global competitive edge as outlined in initiatives such as the UAE Centennial 2071.</w:t>
      </w:r>
    </w:p>
    <w:bookmarkEnd w:id="21"/>
    <w:bookmarkStart w:id="22" w:name="problem-statement"/>
    <w:p>
      <w:pPr>
        <w:pStyle w:val="Heading2"/>
      </w:pPr>
      <w:r>
        <w:t xml:space="preserve">2. Problem Statement</w:t>
      </w:r>
    </w:p>
    <w:p>
      <w:pPr>
        <w:pStyle w:val="FirstParagraph"/>
      </w:pPr>
      <w:r>
        <w:t xml:space="preserve">Despite Dubai's prominence, significant gaps exist in understanding the evolving professional identity and operational challenges of the Lawyer within its specific legal context. Existing literature often generalizes about 'the UAE legal system' without adequately distinguishing between mainland jurisdiction and the distinct regulatory frameworks of Dubai’s free zones, particularly DIFC Courts. Furthermore, rapid legislative changes—such as amendments to commercial law, new data privacy regulations (like PDPL), and advancements in fintech and AI governance—create a moving target for legal practitioners. There is insufficient empirical research on how Lawyers manage these pressures while upholding ethical standards, navigating cultural nuances with diverse international clients, and competing effectively within a burgeoning legal market housing over 1,200 registered law firms (as per Dubai Law Society data). This gap impedes the development of targeted support systems for the Lawyer and limits the UAE's capacity to optimize its legal sector as a strategic asset.</w:t>
      </w:r>
    </w:p>
    <w:bookmarkEnd w:id="22"/>
    <w:bookmarkStart w:id="23" w:name="research-questions"/>
    <w:p>
      <w:pPr>
        <w:pStyle w:val="Heading2"/>
      </w:pPr>
      <w:r>
        <w:t xml:space="preserve">3. Research Questions</w:t>
      </w:r>
    </w:p>
    <w:p>
      <w:pPr>
        <w:numPr>
          <w:ilvl w:val="0"/>
          <w:numId w:val="1001"/>
        </w:numPr>
        <w:pStyle w:val="Compact"/>
      </w:pPr>
      <w:r>
        <w:t xml:space="preserve">How do Lawyers in Dubai specifically navigate and integrate the coexistence of federal law, local Emirate regulations, and common law frameworks (e.g., DIFC) in their daily practice?</w:t>
      </w:r>
    </w:p>
    <w:p>
      <w:pPr>
        <w:numPr>
          <w:ilvl w:val="0"/>
          <w:numId w:val="1001"/>
        </w:numPr>
        <w:pStyle w:val="Compact"/>
      </w:pPr>
      <w:r>
        <w:t xml:space="preserve">To what extent are current legal education programs and professional development initiatives in the United Arab Emirates Dubai adequately preparing Lawyers for emerging regulatory challenges (e.g., ESG compliance, digital asset regulation)?</w:t>
      </w:r>
    </w:p>
    <w:p>
      <w:pPr>
        <w:numPr>
          <w:ilvl w:val="0"/>
          <w:numId w:val="1001"/>
        </w:numPr>
        <w:pStyle w:val="Compact"/>
      </w:pPr>
      <w:r>
        <w:t xml:space="preserve">What are the most significant operational, ethical, and cultural barriers faced by Lawyers when representing multinational clients or operating within Dubai's unique business ecosystem?</w:t>
      </w:r>
    </w:p>
    <w:p>
      <w:pPr>
        <w:numPr>
          <w:ilvl w:val="0"/>
          <w:numId w:val="1001"/>
        </w:numPr>
        <w:pStyle w:val="Compact"/>
      </w:pPr>
      <w:r>
        <w:t xml:space="preserve">How can the role of the Lawyer be strategically enhanced to further support Dubai’s vision as a global hub for dispute resolution (e.g., leveraging DIFC-LCIA arbitration) and innovation?</w:t>
      </w:r>
    </w:p>
    <w:bookmarkEnd w:id="23"/>
    <w:bookmarkStart w:id="24" w:name="methodology"/>
    <w:p>
      <w:pPr>
        <w:pStyle w:val="Heading2"/>
      </w:pPr>
      <w:r>
        <w:t xml:space="preserve">4. Methodology</w:t>
      </w:r>
    </w:p>
    <w:p>
      <w:pPr>
        <w:pStyle w:val="FirstParagraph"/>
      </w:pPr>
      <w:r>
        <w:t xml:space="preserve">This research will employ a mixed-methods approach to ensure robust, contextually grounded findings. Phase 1 involves a comprehensive review of primary legal documents (federal laws, DIFC regulations, Dubai Courts rules) and recent scholarly work focused on the UAE legal landscape. Phase 2 utilizes qualitative methods: in-depth semi-structured interviews with approximately 30 practicing Lawyers across diverse practice areas (corporate, dispute resolution, intellectual property) within mainland Dubai and key free zones (DIFC, DMCC). This sample will include both Emirati and expatriate practitioners to capture varied perspectives. Phase 3 incorporates a quantitative survey distributed to members of the Dubai Legal Office and the Emirates Lawyers Association to gauge broader trends in practice challenges, skill gaps, and perceived needs for professional development. Data analysis will employ thematic analysis for qualitative data and descriptive/ inferential statistics for quantitative responses. Ethical approval will be secured from a recognized UAE academic institution prior to fieldwork.</w:t>
      </w:r>
    </w:p>
    <w:bookmarkEnd w:id="24"/>
    <w:bookmarkStart w:id="25" w:name="expected-contributions"/>
    <w:p>
      <w:pPr>
        <w:pStyle w:val="Heading2"/>
      </w:pPr>
      <w:r>
        <w:t xml:space="preserve">5. Expected Contributions</w:t>
      </w:r>
    </w:p>
    <w:p>
      <w:pPr>
        <w:pStyle w:val="FirstParagraph"/>
      </w:pPr>
      <w:r>
        <w:t xml:space="preserve">This research proposal directly addresses the critical need for evidence-based insights into the Lawyer profession in Dubai. Key expected contributions include:</w:t>
      </w:r>
    </w:p>
    <w:p>
      <w:pPr>
        <w:numPr>
          <w:ilvl w:val="0"/>
          <w:numId w:val="1002"/>
        </w:numPr>
        <w:pStyle w:val="Compact"/>
      </w:pPr>
      <w:r>
        <w:rPr>
          <w:bCs/>
          <w:b/>
        </w:rPr>
        <w:t xml:space="preserve">Policy Recommendations:</w:t>
      </w:r>
      <w:r>
        <w:t xml:space="preserve"> </w:t>
      </w:r>
      <w:r>
        <w:t xml:space="preserve">Concrete proposals for regulatory bodies (like the Dubai Courts, DIFC Authority, and Ministry of Justice) on updating legal education curricula and continuing professional development (CPD) requirements to align with Dubai's strategic objectives.</w:t>
      </w:r>
    </w:p>
    <w:p>
      <w:pPr>
        <w:numPr>
          <w:ilvl w:val="0"/>
          <w:numId w:val="1002"/>
        </w:numPr>
        <w:pStyle w:val="Compact"/>
      </w:pPr>
      <w:r>
        <w:rPr>
          <w:bCs/>
          <w:b/>
        </w:rPr>
        <w:t xml:space="preserve">Professional Development Frameworks:</w:t>
      </w:r>
      <w:r>
        <w:t xml:space="preserve"> </w:t>
      </w:r>
      <w:r>
        <w:t xml:space="preserve">Identification of specific skill gaps (e.g., expertise in blockchain contracts, cross-cultural negotiation techniques) leading to targeted training modules for the Lawyer, enhancing their marketability and effectiveness within United Arab Emirates Dubai.</w:t>
      </w:r>
    </w:p>
    <w:p>
      <w:pPr>
        <w:numPr>
          <w:ilvl w:val="0"/>
          <w:numId w:val="1002"/>
        </w:numPr>
        <w:pStyle w:val="Compact"/>
      </w:pPr>
      <w:r>
        <w:rPr>
          <w:bCs/>
          <w:b/>
        </w:rPr>
        <w:t xml:space="preserve">Economic Impact Analysis:</w:t>
      </w:r>
      <w:r>
        <w:t xml:space="preserve"> </w:t>
      </w:r>
      <w:r>
        <w:t xml:space="preserve">A clearer understanding of how an adaptable and highly skilled legal profession directly contributes to Dubai's economic competitiveness, attracting high-value international business and investment.</w:t>
      </w:r>
    </w:p>
    <w:p>
      <w:pPr>
        <w:numPr>
          <w:ilvl w:val="0"/>
          <w:numId w:val="1002"/>
        </w:numPr>
        <w:pStyle w:val="Compact"/>
      </w:pPr>
      <w:r>
        <w:rPr>
          <w:bCs/>
          <w:b/>
        </w:rPr>
        <w:t xml:space="preserve">Academic Contribution:</w:t>
      </w:r>
      <w:r>
        <w:t xml:space="preserve"> </w:t>
      </w:r>
      <w:r>
        <w:t xml:space="preserve">Filling a significant void in scholarly literature focused specifically on the operational realities of Lawyers within the unique Dubai context, moving beyond generic UAE legal analysis.</w:t>
      </w:r>
    </w:p>
    <w:bookmarkEnd w:id="25"/>
    <w:bookmarkStart w:id="26" w:name="X1173bb4930f2619c945fdfd60a1ae49bc169342"/>
    <w:p>
      <w:pPr>
        <w:pStyle w:val="Heading2"/>
      </w:pPr>
      <w:r>
        <w:t xml:space="preserve">6. Significance and Relevance to United Arab Emirates Dubai</w:t>
      </w:r>
    </w:p>
    <w:p>
      <w:pPr>
        <w:pStyle w:val="FirstParagraph"/>
      </w:pPr>
      <w:r>
        <w:t xml:space="preserve">The findings of this research hold profound significance for the United Arab Emirates Dubai. The Lawyer is a cornerstone of trust in business transactions, dispute resolution, and regulatory compliance within Dubai's global marketplace. By understanding the specific pressures and opportunities faced by the Lawyer in this environment, policymakers can develop more effective support mechanisms. This directly supports UAE Vision 2030 goals of diversifying the economy and enhancing its position as a top global destination for investment and business. Furthermore, optimizing the Lawyer’s role contributes to Dubai's ambition to become a leading international center for arbitration (DIFC-LCIA) and innovation, where legal expertise is not just a service but a strategic enabler. This research moves beyond theoretical discussion; it provides actionable pathways for strengthening the very fabric of Dubai's legal and economic success story.</w:t>
      </w:r>
    </w:p>
    <w:bookmarkEnd w:id="26"/>
    <w:bookmarkStart w:id="27" w:name="conclusion"/>
    <w:p>
      <w:pPr>
        <w:pStyle w:val="Heading2"/>
      </w:pPr>
      <w:r>
        <w:t xml:space="preserve">7. Conclusion</w:t>
      </w:r>
    </w:p>
    <w:p>
      <w:pPr>
        <w:pStyle w:val="FirstParagraph"/>
      </w:pPr>
      <w:r>
        <w:t xml:space="preserve">The evolving role of the Lawyer in United Arab Emirates Dubai is central to navigating the jurisdiction's complex legal tapestry and sustaining its global prominence. This research proposal outlines a vital investigation into the practical realities, challenges, and strategic potential of this profession within Dubai's unique ecosystem. By focusing on empirical data collection from practitioners operating at the forefront, this study promises not only academic value but tangible outcomes for legal professionals, regulatory bodies, and ultimately Dubai's continued success as a dynamic global business hub. Investing in understanding how the Lawyer operates effectively in United Arab Emirates Dubai is an investment in the future stability and competitiveness of one of the world's most ambitious economic centers.</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the United Arab Emirates Dubai Legal Landscape</dc:title>
  <dc:creator/>
  <cp:keywords/>
  <dcterms:created xsi:type="dcterms:W3CDTF">2026-07-23T19:22:42Z</dcterms:created>
  <dcterms:modified xsi:type="dcterms:W3CDTF">2026-07-23T19:22:42Z</dcterms:modified>
</cp:coreProperties>
</file>

<file path=docProps/custom.xml><?xml version="1.0" encoding="utf-8"?>
<Properties xmlns="http://schemas.openxmlformats.org/officeDocument/2006/custom-properties" xmlns:vt="http://schemas.openxmlformats.org/officeDocument/2006/docPropsVTypes"/>
</file>