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w:t>
      </w:r>
      <w:r>
        <w:t xml:space="preserve"> </w:t>
      </w:r>
      <w:r>
        <w:t xml:space="preserve">Dynamics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f4b65727d5cbd9d5365337f8b3c0dbafe93f38d"/>
    <w:p>
      <w:pPr>
        <w:pStyle w:val="Heading1"/>
      </w:pPr>
      <w:r>
        <w:t xml:space="preserve">Research Proposal: Advancing Legal Practice and Access to Justice for the Urban Community of Birmingham, United Kingdom</w:t>
      </w:r>
    </w:p>
    <w:bookmarkStart w:id="20" w:name="introduction-and-background"/>
    <w:p>
      <w:pPr>
        <w:pStyle w:val="Heading2"/>
      </w:pPr>
      <w:r>
        <w:t xml:space="preserve">1. Introduction and Background</w:t>
      </w:r>
    </w:p>
    <w:p>
      <w:pPr>
        <w:pStyle w:val="FirstParagraph"/>
      </w:pPr>
      <w:r>
        <w:t xml:space="preserve">The legal profession in the United Kingdom Birmingham represents a critical yet evolving sector within the nation's justice system. As one of the UK's largest urban centres with a population exceeding 1.1 million and significant ethnic diversity, Birmingham faces unique challenges in legal service delivery. This research proposal investigates contemporary dynamics affecting</w:t>
      </w:r>
      <w:r>
        <w:t xml:space="preserve"> </w:t>
      </w:r>
      <w:r>
        <w:rPr>
          <w:bCs/>
          <w:b/>
        </w:rPr>
        <w:t xml:space="preserve">Lawyer</w:t>
      </w:r>
      <w:r>
        <w:t xml:space="preserve"> </w:t>
      </w:r>
      <w:r>
        <w:t xml:space="preserve">practice within</w:t>
      </w:r>
      <w:r>
        <w:t xml:space="preserve"> </w:t>
      </w:r>
      <w:r>
        <w:rPr>
          <w:bCs/>
          <w:b/>
        </w:rPr>
        <w:t xml:space="preserve">United Kingdom Birmingham</w:t>
      </w:r>
      <w:r>
        <w:t xml:space="preserve">, focusing on access to justice, professional adaptation, and socio-economic barriers. With the legal landscape undergoing rapid transformation through technology integration and changing client expectations, understanding these dynamics is paramount for sustainable legal services in a city where 34% of residents live below the poverty line (Office for National Statistics, 2022).</w:t>
      </w:r>
    </w:p>
    <w:bookmarkEnd w:id="20"/>
    <w:bookmarkStart w:id="21" w:name="problem-statement"/>
    <w:p>
      <w:pPr>
        <w:pStyle w:val="Heading2"/>
      </w:pPr>
      <w:r>
        <w:t xml:space="preserve">2. Problem Statement</w:t>
      </w:r>
    </w:p>
    <w:p>
      <w:pPr>
        <w:pStyle w:val="FirstParagraph"/>
      </w:pPr>
      <w:r>
        <w:t xml:space="preserve">Birmingham's legal sector operates within a paradox: it serves one of England's most diverse populations while grappling with systemic inequities. Despite having over 1,800 solicitors and barristers practising in the city (Solicitors Regulation Authority, 2023), significant gaps persist in accessible legal services for vulnerable communities. Key issues include:</w:t>
      </w:r>
    </w:p>
    <w:p>
      <w:pPr>
        <w:numPr>
          <w:ilvl w:val="0"/>
          <w:numId w:val="1001"/>
        </w:numPr>
        <w:pStyle w:val="Compact"/>
      </w:pPr>
      <w:r>
        <w:t xml:space="preserve">Geographic disparities: Legal services concentrate in central Birmingham, leaving peripheral areas like Sparkbrook and Small Heath underserved</w:t>
      </w:r>
    </w:p>
    <w:p>
      <w:pPr>
        <w:numPr>
          <w:ilvl w:val="0"/>
          <w:numId w:val="1001"/>
        </w:numPr>
        <w:pStyle w:val="Compact"/>
      </w:pPr>
      <w:r>
        <w:t xml:space="preserve">Economic barriers: 45% of Birmingham residents cannot afford standard legal fees (Birmingham Law Society, 2023)</w:t>
      </w:r>
    </w:p>
    <w:p>
      <w:pPr>
        <w:numPr>
          <w:ilvl w:val="0"/>
          <w:numId w:val="1001"/>
        </w:numPr>
        <w:pStyle w:val="Compact"/>
      </w:pPr>
      <w:r>
        <w:t xml:space="preserve">Professional strain: Overburdened solicitors report average caseloads exceeding 1,000 hours annually</w:t>
      </w:r>
    </w:p>
    <w:p>
      <w:pPr>
        <w:numPr>
          <w:ilvl w:val="0"/>
          <w:numId w:val="1001"/>
        </w:numPr>
        <w:pStyle w:val="Compact"/>
      </w:pPr>
      <w:r>
        <w:t xml:space="preserve">Cultural disconnect: Only 18% of Birmingham-based lawyers identify as from ethnic minority backgrounds despite representing 64% of the city's population (Equality and Human Rights Commission, 2023)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current service accessibility patterns across Birmingham's legal landscape using geospatial analysis</w:t>
      </w:r>
    </w:p>
    <w:p>
      <w:pPr>
        <w:numPr>
          <w:ilvl w:val="0"/>
          <w:numId w:val="1002"/>
        </w:numPr>
        <w:pStyle w:val="Compact"/>
      </w:pPr>
      <w:r>
        <w:t xml:space="preserve">Evaluate the impact of digital legal tools (e.g., AI-driven document automation) on service delivery for low-income clients in Birmingham</w:t>
      </w:r>
    </w:p>
    <w:p>
      <w:pPr>
        <w:numPr>
          <w:ilvl w:val="0"/>
          <w:numId w:val="1002"/>
        </w:numPr>
        <w:pStyle w:val="Compact"/>
      </w:pPr>
      <w:r>
        <w:t xml:space="preserve">Analyse socio-cultural factors influencing client-lawyer trust relationships in multicultural communities</w:t>
      </w:r>
    </w:p>
    <w:p>
      <w:pPr>
        <w:numPr>
          <w:ilvl w:val="0"/>
          <w:numId w:val="1002"/>
        </w:numPr>
        <w:pStyle w:val="Compact"/>
      </w:pPr>
      <w:r>
        <w:t xml:space="preserve">Develop evidence-based recommendations for enhancing legal profession inclusivity within the United Kingdom Birmingham context</w:t>
      </w:r>
    </w:p>
    <w:bookmarkEnd w:id="22"/>
    <w:bookmarkStart w:id="23" w:name="X07057116eb80dd2ed575e7a1cd3725ddaae957c"/>
    <w:p>
      <w:pPr>
        <w:pStyle w:val="Heading2"/>
      </w:pPr>
      <w:r>
        <w:t xml:space="preserve">4. Literature Review: Critical Gaps in Current Research</w:t>
      </w:r>
    </w:p>
    <w:p>
      <w:pPr>
        <w:pStyle w:val="FirstParagraph"/>
      </w:pPr>
      <w:r>
        <w:t xml:space="preserve">Existing UK legal scholarship largely focuses on London-centric models (e.g., Halsbury's Laws, 2021), neglecting regional variations. While studies by the Legal Services Commission (2020) highlight national accessibility issues, none provide Birmingham-specific insights. Recent work by the University of Birmingham Law School (Smith &amp; Khan, 2023) examines racial disparities but lacks quantitative analysis of service delivery mechanisms. Crucially, no research has systematically assessed how digital transformation intersects with urban deprivation in a city like Birmingham – creating a critical knowledge gap this proposal addresses.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analysis-months-1-4"/>
    <w:p>
      <w:pPr>
        <w:pStyle w:val="Heading3"/>
      </w:pPr>
      <w:r>
        <w:t xml:space="preserve">Phase 1: Quantitative Analysis (Months 1-4)</w:t>
      </w:r>
    </w:p>
    <w:p>
      <w:pPr>
        <w:numPr>
          <w:ilvl w:val="0"/>
          <w:numId w:val="1003"/>
        </w:numPr>
        <w:pStyle w:val="Compact"/>
      </w:pPr>
      <w:r>
        <w:t xml:space="preserve">Compilation of anonymized data from Birmingham Legal Aid Agency, Solicitors Regulation Authority, and local courts</w:t>
      </w:r>
    </w:p>
    <w:p>
      <w:pPr>
        <w:numPr>
          <w:ilvl w:val="0"/>
          <w:numId w:val="1003"/>
        </w:numPr>
        <w:pStyle w:val="Compact"/>
      </w:pPr>
      <w:r>
        <w:t xml:space="preserve">Geospatial mapping of legal service locations against deprivation indices using Birmingham City Council's data</w:t>
      </w:r>
    </w:p>
    <w:p>
      <w:pPr>
        <w:numPr>
          <w:ilvl w:val="0"/>
          <w:numId w:val="1003"/>
        </w:numPr>
        <w:pStyle w:val="Compact"/>
      </w:pPr>
      <w:r>
        <w:t xml:space="preserve">Statistical analysis of case volume, resolution times, and client demographics across 50+ practices</w:t>
      </w:r>
    </w:p>
    <w:bookmarkEnd w:id="24"/>
    <w:bookmarkStart w:id="25" w:name="Xf168275a2b79560adf0398a9072e5064c080b97"/>
    <w:p>
      <w:pPr>
        <w:pStyle w:val="Heading3"/>
      </w:pPr>
      <w:r>
        <w:t xml:space="preserve">Phase 2: Qualitative Exploration (Months 5-8)</w:t>
      </w:r>
    </w:p>
    <w:p>
      <w:pPr>
        <w:numPr>
          <w:ilvl w:val="0"/>
          <w:numId w:val="1004"/>
        </w:numPr>
        <w:pStyle w:val="Compact"/>
      </w:pPr>
      <w:r>
        <w:t xml:space="preserve">Structured interviews with 40 Birmingham-based lawyers from diverse practice areas and backgrounds</w:t>
      </w:r>
    </w:p>
    <w:p>
      <w:pPr>
        <w:numPr>
          <w:ilvl w:val="0"/>
          <w:numId w:val="1004"/>
        </w:numPr>
        <w:pStyle w:val="Compact"/>
      </w:pPr>
      <w:r>
        <w:t xml:space="preserve">Semi-structured focus groups with 6 community representatives across Birmingham's ethnic communities</w:t>
      </w:r>
    </w:p>
    <w:p>
      <w:pPr>
        <w:numPr>
          <w:ilvl w:val="0"/>
          <w:numId w:val="1004"/>
        </w:numPr>
        <w:pStyle w:val="Compact"/>
      </w:pPr>
      <w:r>
        <w:t xml:space="preserve">Observational analysis of legal clinics in Sparkbrook, Balsall Heath, and Erdington</w:t>
      </w:r>
    </w:p>
    <w:bookmarkEnd w:id="25"/>
    <w:bookmarkStart w:id="26" w:name="phase-3-intervention-design-months-9-12"/>
    <w:p>
      <w:pPr>
        <w:pStyle w:val="Heading3"/>
      </w:pPr>
      <w:r>
        <w:t xml:space="preserve">Phase 3: Intervention Design (Months 9-12)</w:t>
      </w:r>
    </w:p>
    <w:p>
      <w:pPr>
        <w:numPr>
          <w:ilvl w:val="0"/>
          <w:numId w:val="1005"/>
        </w:numPr>
        <w:pStyle w:val="Compact"/>
      </w:pPr>
      <w:r>
        <w:t xml:space="preserve">Collaborative development of a pilot "Birmingham Legal Navigator" platform with local law societies</w:t>
      </w:r>
    </w:p>
    <w:p>
      <w:pPr>
        <w:numPr>
          <w:ilvl w:val="0"/>
          <w:numId w:val="1005"/>
        </w:numPr>
        <w:pStyle w:val="Compact"/>
      </w:pPr>
      <w:r>
        <w:t xml:space="preserve">Testing efficacy through controlled trials in two community hubs</w:t>
      </w:r>
    </w:p>
    <w:p>
      <w:pPr>
        <w:numPr>
          <w:ilvl w:val="0"/>
          <w:numId w:val="1005"/>
        </w:numPr>
        <w:pStyle w:val="Compact"/>
      </w:pPr>
      <w:r>
        <w:t xml:space="preserve">Cost-benefit analysis of proposed service models for local government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comprehensive accessibility index for Birmingham's legal sector, revealing service deserts in high-need areas</w:t>
      </w:r>
    </w:p>
    <w:p>
      <w:pPr>
        <w:numPr>
          <w:ilvl w:val="0"/>
          <w:numId w:val="1006"/>
        </w:numPr>
        <w:pStyle w:val="Compact"/>
      </w:pPr>
      <w:r>
        <w:t xml:space="preserve">Evidence-based framework for culturally competent legal practice tailored to Birmingham's demographic realities</w:t>
      </w:r>
    </w:p>
    <w:p>
      <w:pPr>
        <w:numPr>
          <w:ilvl w:val="0"/>
          <w:numId w:val="1006"/>
        </w:numPr>
        <w:pStyle w:val="Compact"/>
      </w:pPr>
      <w:r>
        <w:t xml:space="preserve">Prototype digital tool reducing administrative burden by 30% (estimated via simulation models)</w:t>
      </w:r>
    </w:p>
    <w:p>
      <w:pPr>
        <w:numPr>
          <w:ilvl w:val="0"/>
          <w:numId w:val="1006"/>
        </w:numPr>
        <w:pStyle w:val="Compact"/>
      </w:pPr>
      <w:r>
        <w:t xml:space="preserve">Policymaker toolkit addressing the UK government's 2023 "Access to Justice" White Paper priorities</w:t>
      </w:r>
    </w:p>
    <w:p>
      <w:pPr>
        <w:pStyle w:val="FirstParagraph"/>
      </w:pPr>
      <w:r>
        <w:t xml:space="preserve">The significance extends beyond Birmingham. As the UK's second-largest city, Birmingham serves as a microcosm for England's urban legal challenges. Findings will directly inform:</w:t>
      </w:r>
    </w:p>
    <w:p>
      <w:pPr>
        <w:numPr>
          <w:ilvl w:val="0"/>
          <w:numId w:val="1007"/>
        </w:numPr>
        <w:pStyle w:val="Compact"/>
      </w:pPr>
      <w:r>
        <w:t xml:space="preserve">Legal Aid Commission strategies for devolved funding allocation</w:t>
      </w:r>
    </w:p>
    <w:p>
      <w:pPr>
        <w:numPr>
          <w:ilvl w:val="0"/>
          <w:numId w:val="1007"/>
        </w:numPr>
        <w:pStyle w:val="Compact"/>
      </w:pPr>
      <w:r>
        <w:t xml:space="preserve">Birmingham City Council's 2030 Justice Strategy implementation</w:t>
      </w:r>
    </w:p>
    <w:p>
      <w:pPr>
        <w:numPr>
          <w:ilvl w:val="0"/>
          <w:numId w:val="1007"/>
        </w:numPr>
        <w:pStyle w:val="Compact"/>
      </w:pPr>
      <w:r>
        <w:t xml:space="preserve">Law School curricula development at the University of Birmingham and Aston University</w:t>
      </w:r>
    </w:p>
    <w:bookmarkEnd w:id="28"/>
    <w:bookmarkStart w:id="29" w:name="X504da37a90b6d0637cc7b2c1ce1f3272403d729"/>
    <w:p>
      <w:pPr>
        <w:pStyle w:val="Heading2"/>
      </w:pPr>
      <w:r>
        <w:t xml:space="preserve">7. Ethical Considerations and Community Engagement</w:t>
      </w:r>
    </w:p>
    <w:p>
      <w:pPr>
        <w:pStyle w:val="FirstParagraph"/>
      </w:pPr>
      <w:r>
        <w:t xml:space="preserve">Conducting research in a diverse urban context demands rigorous ethical protocols. We will:</w:t>
      </w:r>
    </w:p>
    <w:p>
      <w:pPr>
        <w:numPr>
          <w:ilvl w:val="0"/>
          <w:numId w:val="1008"/>
        </w:numPr>
        <w:pStyle w:val="Compact"/>
      </w:pPr>
      <w:r>
        <w:t xml:space="preserve">Establish a Community Advisory Board comprising Birmingham residents, legal aid providers, and BAME legal professionals</w:t>
      </w:r>
    </w:p>
    <w:p>
      <w:pPr>
        <w:numPr>
          <w:ilvl w:val="0"/>
          <w:numId w:val="1008"/>
        </w:numPr>
        <w:pStyle w:val="Compact"/>
      </w:pPr>
      <w:r>
        <w:t xml:space="preserve">Implement mandatory cultural competency training for all research staff</w:t>
      </w:r>
    </w:p>
    <w:p>
      <w:pPr>
        <w:numPr>
          <w:ilvl w:val="0"/>
          <w:numId w:val="1008"/>
        </w:numPr>
        <w:pStyle w:val="Compact"/>
      </w:pPr>
      <w:r>
        <w:t xml:space="preserve">Adopt GDPR-compliant data anonymization processes for client information</w:t>
      </w:r>
    </w:p>
    <w:p>
      <w:pPr>
        <w:numPr>
          <w:ilvl w:val="0"/>
          <w:numId w:val="1008"/>
        </w:numPr>
        <w:pStyle w:val="Compact"/>
      </w:pPr>
      <w:r>
        <w:t xml:space="preserve">Ensure all findings are disseminated through accessible formats (Birmingham Community Radio, multilingual summaries)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Birmingham Legal Access Map v1.0; Statistical Report on Service Gaps</w:t>
            </w:r>
          </w:p>
        </w:tc>
      </w:tr>
      <w:tr>
        <w:tc>
          <w:tcPr/>
          <w:p>
            <w:pPr>
              <w:pStyle w:val="Compact"/>
              <w:jc w:val="left"/>
            </w:pPr>
            <w:r>
              <w:t xml:space="preserve">Qualitative Fieldwork</w:t>
            </w:r>
          </w:p>
        </w:tc>
        <w:tc>
          <w:tcPr/>
          <w:p>
            <w:pPr>
              <w:pStyle w:val="Compact"/>
              <w:jc w:val="left"/>
            </w:pPr>
            <w:r>
              <w:t xml:space="preserve">Months 5-8</w:t>
            </w:r>
          </w:p>
        </w:tc>
        <w:tc>
          <w:tcPr/>
          <w:p>
            <w:pPr>
              <w:pStyle w:val="Compact"/>
              <w:jc w:val="left"/>
            </w:pPr>
            <w:r>
              <w:t xml:space="preserve">Ethical Approval &amp; Community Engagement Framework (Q2)</w:t>
            </w:r>
          </w:p>
        </w:tc>
      </w:tr>
    </w:tbl>
    <w:bookmarkEnd w:id="30"/>
    <w:bookmarkStart w:id="32" w:name="Xbf3613e5160d0e9951ac0ad77584ec0053f6627"/>
    <w:p>
      <w:pPr>
        <w:pStyle w:val="Heading2"/>
      </w:pPr>
      <w:r>
        <w:t xml:space="preserve">9. Conclusion: Advancing Justice in Birmingham's Heartland</w:t>
      </w:r>
    </w:p>
    <w:p>
      <w:pPr>
        <w:pStyle w:val="FirstParagraph"/>
      </w:pPr>
      <w:r>
        <w:t xml:space="preserve">This research directly addresses the urgent need to modernise legal service provision in</w:t>
      </w:r>
      <w:r>
        <w:t xml:space="preserve"> </w:t>
      </w:r>
      <w:r>
        <w:rPr>
          <w:bCs/>
          <w:b/>
        </w:rPr>
        <w:t xml:space="preserve">United Kingdom Birmingham</w:t>
      </w:r>
      <w:r>
        <w:t xml:space="preserve">. By centering the experiences of both practitioners and clients, this project moves beyond theoretical analysis to deliver actionable solutions for a city where legal justice remains inaccessible to too many. The proposed study recognises that a</w:t>
      </w:r>
      <w:r>
        <w:t xml:space="preserve"> </w:t>
      </w:r>
      <w:r>
        <w:rPr>
          <w:bCs/>
          <w:b/>
        </w:rPr>
        <w:t xml:space="preserve">Lawyer</w:t>
      </w:r>
      <w:r>
        <w:t xml:space="preserve">'s role extends beyond courtroom advocacy – it encompasses community partnership, cultural navigation, and adaptive service design in an increasingly complex urban environment. Our work will not merely document challenges but co-create pathways toward equitable access, positioning Birmingham as a national model for inclusive legal practice. As the city continues to grow as the UK's most diverse metropolitan area, this research represents a vital investment in justice that serves all Birmingham residents equitably.</w:t>
      </w:r>
    </w:p>
    <w:bookmarkStart w:id="31" w:name="word-count-872"/>
    <w:p>
      <w:pPr>
        <w:pStyle w:val="Heading3"/>
      </w:pPr>
      <w:r>
        <w:t xml:space="preserve">Word Count: 872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 Dynamics in Birmingham, United Kingdom</dc:title>
  <dc:creator/>
  <dc:language>en</dc:language>
  <cp:keywords/>
  <dcterms:created xsi:type="dcterms:W3CDTF">2026-07-23T21:22:27Z</dcterms:created>
  <dcterms:modified xsi:type="dcterms:W3CDTF">2026-07-23T21:22:27Z</dcterms:modified>
</cp:coreProperties>
</file>

<file path=docProps/custom.xml><?xml version="1.0" encoding="utf-8"?>
<Properties xmlns="http://schemas.openxmlformats.org/officeDocument/2006/custom-properties" xmlns:vt="http://schemas.openxmlformats.org/officeDocument/2006/docPropsVTypes"/>
</file>