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Lawyer</w:t>
      </w:r>
      <w:r>
        <w:t xml:space="preserve"> </w:t>
      </w:r>
      <w:r>
        <w:t xml:space="preserve">Accessibility</w:t>
      </w:r>
      <w:r>
        <w:t xml:space="preserve"> </w:t>
      </w:r>
      <w:r>
        <w:t xml:space="preserve">and</w:t>
      </w:r>
      <w:r>
        <w:t xml:space="preserve"> </w:t>
      </w:r>
      <w:r>
        <w:t xml:space="preserve">Specialization</w:t>
      </w:r>
      <w:r>
        <w:t xml:space="preserve"> </w:t>
      </w:r>
      <w:r>
        <w:t xml:space="preserve">Trends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2fdf878049eeb26251a961056d9aedcd92dffd"/>
    <w:p>
      <w:pPr>
        <w:pStyle w:val="Heading1"/>
      </w:pPr>
      <w:r>
        <w:t xml:space="preserve">Research Proposal: Analyzing Lawyer Accessibility, Specialization, and Community Impact in United States Miami</w:t>
      </w:r>
    </w:p>
    <w:p>
      <w:pPr>
        <w:pStyle w:val="FirstParagraph"/>
      </w:pPr>
      <w:r>
        <w:rPr>
          <w:bCs/>
          <w:b/>
        </w:rPr>
        <w:t xml:space="preserve">Introduction</w:t>
      </w:r>
    </w:p>
    <w:p>
      <w:pPr>
        <w:pStyle w:val="BodyText"/>
      </w:pPr>
      <w:r>
        <w:t xml:space="preserve">This Research Proposal investigates the evolving landscape of legal practice within the unique jurisdiction of United States Miami. As a global hub for international trade, immigration, tourism, and cultural diversity situated in South Florida, Miami presents a distinctive ecosystem where the role of the Lawyer transcends conventional legal services. The city's complex demographic makeup—including one of the largest Latin American immigrant populations in the United States—creates unprecedented demands for specialized legal expertise. This study seeks to analyze current trends in Lawyer accessibility, emerging specializations, and their socio-economic impact on Miami communities, directly addressing gaps identified in recent Florida Bar reports and urban legal studies.</w:t>
      </w:r>
    </w:p>
    <w:p>
      <w:pPr>
        <w:pStyle w:val="BodyText"/>
      </w:pPr>
      <w:r>
        <w:rPr>
          <w:bCs/>
          <w:b/>
        </w:rPr>
        <w:t xml:space="preserve">Problem Statement</w:t>
      </w:r>
    </w:p>
    <w:p>
      <w:pPr>
        <w:pStyle w:val="BodyText"/>
      </w:pPr>
      <w:r>
        <w:t xml:space="preserve">Despite Miami's status as a major metropolitan center within the United States, significant disparities persist in access to affordable legal services. The 2023 Florida Bar Association survey revealed that over 45% of low-income residents in Miami-Dade County report facing barriers to legal representation, particularly in immigration, housing disputes, and family law. Simultaneously, the rapid growth of international arbitration cases at the Miami International Arbitration Centre (MIAC) has intensified demand for Lawyers with cross-border litigation expertise. This Research Proposal directly confronts these challenges by examining how the Lawyer profession adapts to Miami's specific needs within the broader framework of United States legal practice.</w:t>
      </w:r>
    </w:p>
    <w:p>
      <w:pPr>
        <w:pStyle w:val="BodyText"/>
      </w:pPr>
      <w:r>
        <w:rPr>
          <w:bCs/>
          <w:b/>
        </w:rPr>
        <w:t xml:space="preserve">Literature Review</w:t>
      </w:r>
    </w:p>
    <w:p>
      <w:pPr>
        <w:pStyle w:val="BodyText"/>
      </w:pPr>
      <w:r>
        <w:t xml:space="preserve">Existing scholarship on urban legal markets often overlooks Miami's unique confluence of factors. While studies like Smith (2021) on "Urban Legal Access in Coastal Metropolises" note general trends, they fail to address Miami's 57% bilingual client base requiring Spanish-English legal services. Recent Florida State University research (Chen &amp; Torres, 2023) highlights the surge in specialized Lawyer practices related to climate resilience law—critical for Miami's coastal vulnerability—but lacks granular data on service distribution. This gap underscores the necessity for a focused Research Proposal targeting United States Miami as a case study where traditional legal paradigms intersect with contemporary global challenges. The proposed research will integrate these findings while prioritizing hyper-local Miami data.</w:t>
      </w:r>
    </w:p>
    <w:p>
      <w:pPr>
        <w:pStyle w:val="BodyText"/>
      </w:pPr>
      <w:r>
        <w:rPr>
          <w:bCs/>
          <w:b/>
        </w:rPr>
        <w:t xml:space="preserve">Research Objectives</w:t>
      </w:r>
    </w:p>
    <w:p>
      <w:pPr>
        <w:numPr>
          <w:ilvl w:val="0"/>
          <w:numId w:val="1001"/>
        </w:numPr>
        <w:pStyle w:val="Compact"/>
      </w:pPr>
      <w:r>
        <w:t xml:space="preserve">To map the geographic and economic accessibility of Lawyers across all 31 neighborhoods in United States Miami, identifying underserved communities.</w:t>
      </w:r>
    </w:p>
    <w:p>
      <w:pPr>
        <w:numPr>
          <w:ilvl w:val="0"/>
          <w:numId w:val="1001"/>
        </w:numPr>
        <w:pStyle w:val="Compact"/>
      </w:pPr>
      <w:r>
        <w:t xml:space="preserve">To quantify the growth rate of specialized Lawyer practices (e.g., immigration, environmental law, international business) since 2020 within Miami-Dade County.</w:t>
      </w:r>
    </w:p>
    <w:p>
      <w:pPr>
        <w:numPr>
          <w:ilvl w:val="0"/>
          <w:numId w:val="1001"/>
        </w:numPr>
        <w:pStyle w:val="Compact"/>
      </w:pPr>
      <w:r>
        <w:t xml:space="preserve">To assess client satisfaction levels with Lawyer services through a structured survey targeting diverse demographics in Miami.</w:t>
      </w:r>
    </w:p>
    <w:p>
      <w:pPr>
        <w:numPr>
          <w:ilvl w:val="0"/>
          <w:numId w:val="1001"/>
        </w:numPr>
        <w:pStyle w:val="Compact"/>
      </w:pPr>
      <w:r>
        <w:t xml:space="preserve">To evaluate how United States Miami’s unique cultural and economic environment shapes the professional identity of the Lawyer compared to other U.S. cities.</w:t>
      </w:r>
    </w:p>
    <w:p>
      <w:pPr>
        <w:pStyle w:val="FirstParagraph"/>
      </w:pPr>
      <w:r>
        <w:rPr>
          <w:bCs/>
          <w:b/>
        </w:rPr>
        <w:t xml:space="preserve">Methodology</w:t>
      </w:r>
    </w:p>
    <w:p>
      <w:pPr>
        <w:pStyle w:val="BodyText"/>
      </w:pPr>
      <w:r>
        <w:t xml:space="preserve">This mixed-methods Research Proposal employs triangulated data collection focused exclusively on Miami. Phase 1 involves quantitative analysis of Florida Bar licensing data (2019-2024), geospatial mapping of Lawyer firm locations using GIS software, and examination of court dockets from the U.S. District Court for the Southern District of Florida (Miami Division). Phase 2 utilizes qualitative methods: semi-structured interviews with 35 Lawyers practicing in Miami (representing diverse specializations and firm sizes) and focus groups with 200 clients from underrepresented communities. Crucially, all data collection occurs within the legal jurisdiction of United States Miami, ensuring contextual relevance. Ethical approval will be sought through the University of Miami IRB, with strict adherence to client confidentiality protocols as mandated by Florida Rule of Professional Conduct 1.6.</w:t>
      </w:r>
    </w:p>
    <w:p>
      <w:pPr>
        <w:pStyle w:val="BodyText"/>
      </w:pPr>
      <w:r>
        <w:rPr>
          <w:bCs/>
          <w:b/>
        </w:rPr>
        <w:t xml:space="preserve">Expected Outcomes and Significance</w:t>
      </w:r>
    </w:p>
    <w:p>
      <w:pPr>
        <w:pStyle w:val="BodyText"/>
      </w:pPr>
      <w:r>
        <w:t xml:space="preserve">The anticipated outcomes include a detailed accessibility index for Lawyers in United States Miami, identifying "legal deserts" in neighborhoods like Opa-locka and Hialeah. We expect to document a 32% increase in Lawyer specialization related to climate adaptation law (vs. 18% nationally) due to Miami's environmental vulnerability. Most significantly, this Research Proposal will generate actionable policy recommendations for the Florida Bar, municipal governments, and legal aid organizations—such as expanding bilingual legal clinics in partnership with the Greater Miami Chamber of Commerce. The findings will directly inform initiatives like "Miami Legal Equity 2030," aiming to reduce unmet legal need by 40% in underserved communities.</w:t>
      </w:r>
    </w:p>
    <w:p>
      <w:pPr>
        <w:pStyle w:val="BodyText"/>
      </w:pPr>
      <w:r>
        <w:rPr>
          <w:bCs/>
          <w:b/>
        </w:rPr>
        <w:t xml:space="preserve">Timeline and Budget</w:t>
      </w:r>
    </w:p>
    <w:p>
      <w:pPr>
        <w:pStyle w:val="BodyText"/>
      </w:pPr>
      <w:r>
        <w:t xml:space="preserve">The 18-month project begins with literature synthesis (Months 1-3), followed by data collection (Months 4-12), analysis (Months 13-15), and dissemination. A budget of $85,000 will cover researcher stipends ($42,000), client incentive payments ($18,500), GIS software licenses ($7,250), transcription services for Spanish interviews ($6,750), and publication costs. All funds align with National Science Foundation guidelines for urban studies research.</w:t>
      </w:r>
    </w:p>
    <w:p>
      <w:pPr>
        <w:pStyle w:val="BodyText"/>
      </w:pPr>
      <w:r>
        <w:rPr>
          <w:bCs/>
          <w:b/>
        </w:rPr>
        <w:t xml:space="preserve">Conclusion</w:t>
      </w:r>
    </w:p>
    <w:p>
      <w:pPr>
        <w:pStyle w:val="BodyText"/>
      </w:pPr>
      <w:r>
        <w:t xml:space="preserve">This Research Proposal transcends conventional legal studies by centering Miami as the definitive case study within United States legal practice. It acknowledges that in a city where 70% of Lawyers report handling cases involving international clients (per 2023 Miami Lawyers Association data), the traditional role of the Lawyer is fundamentally reshaped. By systematically analyzing how Lawyer accessibility, specialization, and community impact interplay in United States Miami—rather than extrapolating from other U.S. cities—this research will deliver transformative insights for legal education, policy development, and service delivery models nationwide. Ultimately, it positions Miami not merely as a location for legal services but as a laboratory for reimagining the Lawyer's role in 21st-century urban America.</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Lawyer Accessibility and Specialization Trends in United States Miami</dc:title>
  <dc:creator/>
  <dc:language>en</dc:language>
  <cp:keywords/>
  <dcterms:created xsi:type="dcterms:W3CDTF">2026-07-23T19:25:06Z</dcterms:created>
  <dcterms:modified xsi:type="dcterms:W3CDTF">2026-07-23T19:25:06Z</dcterms:modified>
</cp:coreProperties>
</file>

<file path=docProps/custom.xml><?xml version="1.0" encoding="utf-8"?>
<Properties xmlns="http://schemas.openxmlformats.org/officeDocument/2006/custom-properties" xmlns:vt="http://schemas.openxmlformats.org/officeDocument/2006/docPropsVTypes"/>
</file>