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Legal</w:t>
      </w:r>
      <w:r>
        <w:t xml:space="preserve"> </w:t>
      </w:r>
      <w:r>
        <w:t xml:space="preserve">Practice</w:t>
      </w:r>
    </w:p>
    <w:bookmarkStart w:id="28" w:name="X060ba0cb7883762b039cb37fd76c57c52f500a5"/>
    <w:p>
      <w:pPr>
        <w:pStyle w:val="Heading1"/>
      </w:pPr>
      <w:r>
        <w:t xml:space="preserve">A Research Proposal on the Evolving Role of the Lawyer in United States New York City Legal Practice</w:t>
      </w:r>
    </w:p>
    <w:bookmarkStart w:id="20" w:name="abstract"/>
    <w:p>
      <w:pPr>
        <w:pStyle w:val="Heading2"/>
      </w:pPr>
      <w:r>
        <w:t xml:space="preserve">Abstract</w:t>
      </w:r>
    </w:p>
    <w:p>
      <w:pPr>
        <w:pStyle w:val="FirstParagraph"/>
      </w:pPr>
      <w:r>
        <w:t xml:space="preserve">This research proposal outlines a comprehensive study examining the contemporary challenges, ethical dilemmas, and professional evolution of the lawyer within the unique legal ecosystem of United States New York City. As one of the world's most dynamic legal markets, New York City presents unparalleled complexity due to its dense population, global financial institutions, diverse communities, and intricate court systems. This research aims to investigate how modern</w:t>
      </w:r>
      <w:r>
        <w:t xml:space="preserve"> </w:t>
      </w:r>
      <w:r>
        <w:rPr>
          <w:iCs/>
          <w:i/>
        </w:rPr>
        <w:t xml:space="preserve">Lawyer</w:t>
      </w:r>
      <w:r>
        <w:t xml:space="preserve"> </w:t>
      </w:r>
      <w:r>
        <w:t xml:space="preserve">roles are adapting to systemic pressures including technological disruption, access-to-justice gaps, diversity imperatives, and evolving client expectations. By focusing exclusively on</w:t>
      </w:r>
      <w:r>
        <w:t xml:space="preserve"> </w:t>
      </w:r>
      <w:r>
        <w:rPr>
          <w:iCs/>
          <w:i/>
        </w:rPr>
        <w:t xml:space="preserve">United States New York City</w:t>
      </w:r>
      <w:r>
        <w:t xml:space="preserve">, this study will generate actionable insights for legal education, bar association policy, and judicial administration. The findings will directly inform stakeholders navigating the future of legal practice in America's most influential metropolitan jurisdiction.</w:t>
      </w:r>
    </w:p>
    <w:bookmarkEnd w:id="20"/>
    <w:bookmarkStart w:id="21" w:name="introduction"/>
    <w:p>
      <w:pPr>
        <w:pStyle w:val="Heading2"/>
      </w:pPr>
      <w:r>
        <w:t xml:space="preserve">Introduction</w:t>
      </w:r>
    </w:p>
    <w:p>
      <w:pPr>
        <w:pStyle w:val="FirstParagraph"/>
      </w:pPr>
      <w:r>
        <w:t xml:space="preserve">New York City stands as the epicenter of legal practice within the</w:t>
      </w:r>
      <w:r>
        <w:t xml:space="preserve"> </w:t>
      </w:r>
      <w:r>
        <w:rPr>
          <w:iCs/>
          <w:i/>
        </w:rPr>
        <w:t xml:space="preserve">United States</w:t>
      </w:r>
      <w:r>
        <w:t xml:space="preserve">, housing over 50,000 licensed attorneys across 14,500 law firms and numerous government agencies. The city's legal landscape is defined by its unparalleled scale—from high-stakes corporate litigation at Wall Street firms to immigrant rights advocacy in Queens and public defender offices managing a backlog of over 125,000 cases annually. This environment creates a unique crucible for the</w:t>
      </w:r>
      <w:r>
        <w:t xml:space="preserve"> </w:t>
      </w:r>
      <w:r>
        <w:rPr>
          <w:iCs/>
          <w:i/>
        </w:rPr>
        <w:t xml:space="preserve">Lawyer</w:t>
      </w:r>
      <w:r>
        <w:t xml:space="preserve">, demanding extraordinary adaptability beyond standard professional competencies. Despite extensive scholarship on legal practice nationally, there is a critical gap in granular, NYC-specific research analyzing how the</w:t>
      </w:r>
      <w:r>
        <w:t xml:space="preserve"> </w:t>
      </w:r>
      <w:r>
        <w:rPr>
          <w:iCs/>
          <w:i/>
        </w:rPr>
        <w:t xml:space="preserve">Lawyer</w:t>
      </w:r>
      <w:r>
        <w:t xml:space="preserve"> </w:t>
      </w:r>
      <w:r>
        <w:t xml:space="preserve">navigates jurisdictional complexity (federal, state, and local), cultural diversity (over 80 languages spoken in courts), and resource constraints within the nation's most expensive legal market. This Research Proposal addresses that deficit through a targeted investigation grounded in New York City’s reality.</w:t>
      </w:r>
    </w:p>
    <w:bookmarkEnd w:id="21"/>
    <w:bookmarkStart w:id="22" w:name="Xe6b40fd4a75e5ab63faa5eb752bebba4a3ecbea"/>
    <w:p>
      <w:pPr>
        <w:pStyle w:val="Heading2"/>
      </w:pPr>
      <w:r>
        <w:t xml:space="preserve">Literature Review: Gaps in NYC-Specific Legal Practice Analysis</w:t>
      </w:r>
    </w:p>
    <w:p>
      <w:pPr>
        <w:pStyle w:val="FirstParagraph"/>
      </w:pPr>
      <w:r>
        <w:t xml:space="preserve">Existing literature on the legal profession predominantly focuses on national trends or isolated case studies, often overlooking the systemic interdependencies unique to New York City. While studies by the American Bar Association (ABA) and Columbia Law School explore general attorney workload (e.g., 65% of NYC lawyers report &gt;50-hour workweeks), they lack city-specific context for how local factors—such as the jurisdictional overlap between NYC Criminal Court and federal courts, or the impact of Mayor de Blasio’s 2019 "Access to Justice" initiative—shape daily practice. Crucially, research on diversity within the</w:t>
      </w:r>
      <w:r>
        <w:t xml:space="preserve"> </w:t>
      </w:r>
      <w:r>
        <w:rPr>
          <w:iCs/>
          <w:i/>
        </w:rPr>
        <w:t xml:space="preserve">Lawyer</w:t>
      </w:r>
      <w:r>
        <w:t xml:space="preserve"> </w:t>
      </w:r>
      <w:r>
        <w:t xml:space="preserve">workforce in</w:t>
      </w:r>
      <w:r>
        <w:t xml:space="preserve"> </w:t>
      </w:r>
      <w:r>
        <w:rPr>
          <w:iCs/>
          <w:i/>
        </w:rPr>
        <w:t xml:space="preserve">United States New York City</w:t>
      </w:r>
      <w:r>
        <w:t xml:space="preserve"> </w:t>
      </w:r>
      <w:r>
        <w:t xml:space="preserve">remains fragmented; while the NY State Bar Association reports only 18% of NYC attorneys are people of color (vs. 47% city population), few studies analyze how this disparity affects client representation, ethical decision-making, or community trust. This proposal directly fills these gaps by centering New York City as both the subject and geographic locus of inquiry.</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the lawyer in United States New York City, identifying key pressure points across private practice, public interest, government service, and judicial roles.</w:t>
      </w:r>
    </w:p>
    <w:p>
      <w:pPr>
        <w:numPr>
          <w:ilvl w:val="0"/>
          <w:numId w:val="1001"/>
        </w:numPr>
        <w:pStyle w:val="Compact"/>
      </w:pPr>
      <w:r>
        <w:t xml:space="preserve">To analyze how technological adoption (e.g., AI document review tools, virtual court hearings) is reshaping attorney-client dynamics and ethical obligations within NYC’s high-volume courts.</w:t>
      </w:r>
    </w:p>
    <w:p>
      <w:pPr>
        <w:numPr>
          <w:ilvl w:val="0"/>
          <w:numId w:val="1001"/>
        </w:numPr>
        <w:pStyle w:val="Compact"/>
      </w:pPr>
      <w:r>
        <w:t xml:space="preserve">To evaluate the efficacy of New York City-specific access-to-justice initiatives in improving outcomes for underserved populations, as perceived by practicing lawyers.</w:t>
      </w:r>
    </w:p>
    <w:p>
      <w:pPr>
        <w:numPr>
          <w:ilvl w:val="0"/>
          <w:numId w:val="1001"/>
        </w:numPr>
        <w:pStyle w:val="Compact"/>
      </w:pPr>
      <w:r>
        <w:t xml:space="preserve">To assess the correlation between attorney diversity (race, gender, socioeconomic background) and client satisfaction or case resolution rates in NYC settings.</w:t>
      </w:r>
    </w:p>
    <w:bookmarkEnd w:id="23"/>
    <w:bookmarkStart w:id="24" w:name="methodology"/>
    <w:p>
      <w:pPr>
        <w:pStyle w:val="Heading2"/>
      </w:pPr>
      <w:r>
        <w:t xml:space="preserve">Methodology</w:t>
      </w:r>
    </w:p>
    <w:p>
      <w:pPr>
        <w:pStyle w:val="FirstParagraph"/>
      </w:pPr>
      <w:r>
        <w:t xml:space="preserve">This mixed-methods study will deploy three integrated approaches within New York City’s legal community:</w:t>
      </w:r>
    </w:p>
    <w:p>
      <w:pPr>
        <w:numPr>
          <w:ilvl w:val="0"/>
          <w:numId w:val="1002"/>
        </w:numPr>
        <w:pStyle w:val="Compact"/>
      </w:pPr>
      <w:r>
        <w:rPr>
          <w:bCs/>
          <w:b/>
        </w:rPr>
        <w:t xml:space="preserve">Quantitative Survey:</w:t>
      </w:r>
      <w:r>
        <w:t xml:space="preserve"> </w:t>
      </w:r>
      <w:r>
        <w:t xml:space="preserve">A stratified random sample of 500 licensed attorneys across NYC boroughs, measuring workload, technology use, ethical concerns (using ABA Model Rule adherence scales), and diversity metrics. Data will be collected via the NY State Bar Association’s platform.</w:t>
      </w:r>
    </w:p>
    <w:p>
      <w:pPr>
        <w:numPr>
          <w:ilvl w:val="0"/>
          <w:numId w:val="1002"/>
        </w:numPr>
        <w:pStyle w:val="Compact"/>
      </w:pPr>
      <w:r>
        <w:rPr>
          <w:bCs/>
          <w:b/>
        </w:rPr>
        <w:t xml:space="preserve">Qualitative Case Studies:</w:t>
      </w:r>
      <w:r>
        <w:t xml:space="preserve"> </w:t>
      </w:r>
      <w:r>
        <w:t xml:space="preserve">In-depth interviews (n=40) with attorneys representing diverse practice areas (corporate, public defense, immigration, family law) working in NYC courts or firms. Focus groups will explore challenges like managing court delays at the Manhattan Criminal Court or navigating the NY State Unified Court System’s digital platform.</w:t>
      </w:r>
    </w:p>
    <w:p>
      <w:pPr>
        <w:numPr>
          <w:ilvl w:val="0"/>
          <w:numId w:val="1002"/>
        </w:numPr>
        <w:pStyle w:val="Compact"/>
      </w:pPr>
      <w:r>
        <w:rPr>
          <w:bCs/>
          <w:b/>
        </w:rPr>
        <w:t xml:space="preserve">Document Analysis:</w:t>
      </w:r>
      <w:r>
        <w:t xml:space="preserve"> </w:t>
      </w:r>
      <w:r>
        <w:t xml:space="preserve">Review of 5 years of NYC Bar Association policy reports, court statistics (e.g., NY Supreme Court case dispositions), and citywide access-to-justice funding data to contextualize findings.</w:t>
      </w:r>
    </w:p>
    <w:p>
      <w:pPr>
        <w:pStyle w:val="FirstParagraph"/>
      </w:pPr>
      <w:r>
        <w:t xml:space="preserve">All fieldwork will occur within the geographic boundaries of New York City, ensuring data reflects localized realities. Ethical approval will be sought from Columbia University’s IRB prior to engagement with practitioners.</w:t>
      </w:r>
    </w:p>
    <w:bookmarkEnd w:id="24"/>
    <w:bookmarkStart w:id="25" w:name="significance-and-expected-outcomes"/>
    <w:p>
      <w:pPr>
        <w:pStyle w:val="Heading2"/>
      </w:pPr>
      <w:r>
        <w:t xml:space="preserve">Significance and Expected Outcomes</w:t>
      </w:r>
    </w:p>
    <w:p>
      <w:pPr>
        <w:pStyle w:val="FirstParagraph"/>
      </w:pPr>
      <w:r>
        <w:t xml:space="preserve">The findings of this Research Proposal will directly serve multiple stakeholders in United States New York City:</w:t>
      </w:r>
    </w:p>
    <w:p>
      <w:pPr>
        <w:numPr>
          <w:ilvl w:val="0"/>
          <w:numId w:val="1003"/>
        </w:numPr>
        <w:pStyle w:val="Compact"/>
      </w:pPr>
      <w:r>
        <w:rPr>
          <w:bCs/>
          <w:b/>
        </w:rPr>
        <w:t xml:space="preserve">Legal Education:</w:t>
      </w:r>
      <w:r>
        <w:t xml:space="preserve"> </w:t>
      </w:r>
      <w:r>
        <w:t xml:space="preserve">Curriculum reforms at NYU School of Law, Fordham University Law School, and CUNY School of Law to better prepare students for NYC’s practice environment.</w:t>
      </w:r>
    </w:p>
    <w:p>
      <w:pPr>
        <w:numPr>
          <w:ilvl w:val="0"/>
          <w:numId w:val="1003"/>
        </w:numPr>
        <w:pStyle w:val="Compact"/>
      </w:pPr>
      <w:r>
        <w:rPr>
          <w:bCs/>
          <w:b/>
        </w:rPr>
        <w:t xml:space="preserve">Bar Associations:</w:t>
      </w:r>
      <w:r>
        <w:t xml:space="preserve"> </w:t>
      </w:r>
      <w:r>
        <w:t xml:space="preserve">Evidence-based recommendations for the NYC Bar Association and NYSBA on supporting lawyer well-being (e.g., addressing burnout rates exceeding 35% in corporate firms) and expanding diversity pipelines.</w:t>
      </w:r>
    </w:p>
    <w:p>
      <w:pPr>
        <w:numPr>
          <w:ilvl w:val="0"/>
          <w:numId w:val="1003"/>
        </w:numPr>
        <w:pStyle w:val="Compact"/>
      </w:pPr>
      <w:r>
        <w:rPr>
          <w:bCs/>
          <w:b/>
        </w:rPr>
        <w:t xml:space="preserve">Judicial Administration:</w:t>
      </w:r>
      <w:r>
        <w:t xml:space="preserve"> </w:t>
      </w:r>
      <w:r>
        <w:t xml:space="preserve">Data-driven suggestions for the New York State Unified Court System to streamline procedures, such as optimizing virtual hearing protocols for Bronx Family Court.</w:t>
      </w:r>
    </w:p>
    <w:p>
      <w:pPr>
        <w:numPr>
          <w:ilvl w:val="0"/>
          <w:numId w:val="1003"/>
        </w:numPr>
        <w:pStyle w:val="Compact"/>
      </w:pPr>
      <w:r>
        <w:rPr>
          <w:bCs/>
          <w:b/>
        </w:rPr>
        <w:t xml:space="preserve">Policymakers:</w:t>
      </w:r>
      <w:r>
        <w:t xml:space="preserve"> </w:t>
      </w:r>
      <w:r>
        <w:t xml:space="preserve">Insights for NYC Council members drafting legislation on legal aid funding or regulatory changes affecting attorney conduct in the city’s unique context.</w:t>
      </w:r>
    </w:p>
    <w:p>
      <w:pPr>
        <w:pStyle w:val="FirstParagraph"/>
      </w:pPr>
      <w:r>
        <w:t xml:space="preserve">Crucially, this research will redefine how the role of the</w:t>
      </w:r>
      <w:r>
        <w:t xml:space="preserve"> </w:t>
      </w:r>
      <w:r>
        <w:rPr>
          <w:iCs/>
          <w:i/>
        </w:rPr>
        <w:t xml:space="preserve">Lawyer</w:t>
      </w:r>
      <w:r>
        <w:t xml:space="preserve"> </w:t>
      </w:r>
      <w:r>
        <w:t xml:space="preserve">is understood beyond a national framework, anchoring it to the hyper-local demands of New York City—a hub that shapes legal norms across all 50 states.</w:t>
      </w:r>
    </w:p>
    <w:bookmarkEnd w:id="25"/>
    <w:bookmarkStart w:id="26" w:name="timeline-and-budget-overview"/>
    <w:p>
      <w:pPr>
        <w:pStyle w:val="Heading2"/>
      </w:pPr>
      <w:r>
        <w:t xml:space="preserve">Timeline and Budget Overview</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Instrument Design</w:t>
      </w:r>
    </w:p>
    <w:p>
      <w:pPr>
        <w:pStyle w:val="BodyText"/>
      </w:pPr>
      <w:r>
        <w:t xml:space="preserve">2</w:t>
      </w:r>
    </w:p>
    <w:p>
      <w:pPr>
        <w:pStyle w:val="BodyText"/>
      </w:pPr>
      <w:r>
        <w:t xml:space="preserve">Survey instrument, interview protocol, IRB approval</w:t>
      </w:r>
    </w:p>
    <w:p>
      <w:pPr>
        <w:pStyle w:val="BodyText"/>
      </w:pPr>
      <w:r>
        <w:t xml:space="preserve">Data Collection (NYC-based)</w:t>
      </w:r>
    </w:p>
    <w:p>
      <w:pPr>
        <w:pStyle w:val="BodyText"/>
      </w:pPr>
      <w:r>
        <w:t xml:space="preserve">6</w:t>
      </w:r>
    </w:p>
    <w:p>
      <w:pPr>
        <w:pStyle w:val="BodyText"/>
      </w:pPr>
      <w:r>
        <w:t xml:space="preserve">Survey responses, interview transcripts, court data sets</w:t>
      </w:r>
    </w:p>
    <w:p>
      <w:pPr>
        <w:pStyle w:val="BodyText"/>
      </w:pPr>
      <w:r>
        <w:t xml:space="preserve">Data Analysis &amp; Draft Report</w:t>
      </w:r>
    </w:p>
    <w:p>
      <w:pPr>
        <w:pStyle w:val="BodyText"/>
      </w:pPr>
      <w:r>
        <w:t xml:space="preserve">3</w:t>
      </w:r>
    </w:p>
    <w:p>
      <w:pPr>
        <w:pStyle w:val="BodyText"/>
      </w:pPr>
      <w:r>
        <w:t xml:space="preserve">Narrative findings, statistical reports, case study summaries</w:t>
      </w:r>
    </w:p>
    <w:p>
      <w:pPr>
        <w:pStyle w:val="BodyText"/>
      </w:pPr>
      <w:r>
        <w:t xml:space="preserve">Stakeholder Dissemination (NYC)</w:t>
      </w:r>
    </w:p>
    <w:p>
      <w:pPr>
        <w:pStyle w:val="BodyText"/>
      </w:pPr>
      <w:r>
        <w:t xml:space="preserve">1</w:t>
      </w:r>
    </w:p>
    <w:bookmarkEnd w:id="26"/>
    <w:bookmarkStart w:id="27" w:name="conclusion"/>
    <w:p>
      <w:pPr>
        <w:pStyle w:val="Heading2"/>
      </w:pPr>
      <w:r>
        <w:t xml:space="preserve">Conclusion</w:t>
      </w:r>
    </w:p>
    <w:p>
      <w:pPr>
        <w:pStyle w:val="FirstParagraph"/>
      </w:pPr>
      <w:r>
        <w:t xml:space="preserve">The role of the lawyer in the United States New York City context is not merely a local concern—it is a microcosm of the entire national legal system’s future. As this Research Proposal demonstrates, addressing the specific pressures facing NYC attorneys requires dedicated, city-focused inquiry. By centering our study on New York City’s courts, neighborhoods, and professional culture, we move beyond generic analyses to generate solutions that are both practical and transformative for America’s most consequential legal marketplace. This research will establish a new benchmark for understanding how the modern</w:t>
      </w:r>
      <w:r>
        <w:t xml:space="preserve"> </w:t>
      </w:r>
      <w:r>
        <w:rPr>
          <w:iCs/>
          <w:i/>
        </w:rPr>
        <w:t xml:space="preserve">Lawyer</w:t>
      </w:r>
      <w:r>
        <w:t xml:space="preserve"> </w:t>
      </w:r>
      <w:r>
        <w:t xml:space="preserve">operates within the complex urban tapestry of United States New York City, ultimately contributing to a more equitable, efficient, and resilient legal profession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States New York City Legal Practice</dc:title>
  <dc:creator/>
  <dc:language>en</dc:language>
  <cp:keywords/>
  <dcterms:created xsi:type="dcterms:W3CDTF">2026-07-24T15:43:44Z</dcterms:created>
  <dcterms:modified xsi:type="dcterms:W3CDTF">2026-07-24T15:43:44Z</dcterms:modified>
</cp:coreProperties>
</file>

<file path=docProps/custom.xml><?xml version="1.0" encoding="utf-8"?>
<Properties xmlns="http://schemas.openxmlformats.org/officeDocument/2006/custom-properties" xmlns:vt="http://schemas.openxmlformats.org/officeDocument/2006/docPropsVTypes"/>
</file>