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Models</w:t>
      </w:r>
      <w:r>
        <w:t xml:space="preserve"> </w:t>
      </w:r>
      <w:r>
        <w:t xml:space="preserve">for</w:t>
      </w:r>
      <w:r>
        <w:t xml:space="preserve"> </w:t>
      </w:r>
      <w:r>
        <w:t xml:space="preserve">Modern</w:t>
      </w:r>
      <w:r>
        <w:t xml:space="preserve"> </w:t>
      </w:r>
      <w:r>
        <w:t xml:space="preserve">Lawyers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f1716bdfea101d04564bd1f77656c5fe60617b7"/>
    <w:p>
      <w:pPr>
        <w:pStyle w:val="Heading1"/>
      </w:pPr>
      <w:r>
        <w:t xml:space="preserve">Research Proposal: Evolving Legal Practice Models for Modern Lawyers in United States San Francisco</w:t>
      </w:r>
    </w:p>
    <w:bookmarkStart w:id="20" w:name="i.-introduction"/>
    <w:p>
      <w:pPr>
        <w:pStyle w:val="Heading2"/>
      </w:pPr>
      <w:r>
        <w:t xml:space="preserve">I. Introduction</w:t>
      </w:r>
    </w:p>
    <w:p>
      <w:pPr>
        <w:pStyle w:val="FirstParagraph"/>
      </w:pPr>
      <w:r>
        <w:t xml:space="preserve">The legal profession within the United States San Francisco landscape faces unprecedented transformation driven by technological disruption, shifting client expectations, and complex socioeconomic dynamics. This research proposal examines the evolving role of the Lawyer in San Francisco—a city that serves as a national epicenter for innovation where Silicon Valley's tech revolution intersects with traditional legal practice. As one of the most dynamic metropolitan areas in the United States, San Francisco presents unique challenges requiring fresh approaches to legal service delivery. The central question guiding this study is:</w:t>
      </w:r>
      <w:r>
        <w:t xml:space="preserve"> </w:t>
      </w:r>
      <w:r>
        <w:rPr>
          <w:iCs/>
          <w:i/>
        </w:rPr>
        <w:t xml:space="preserve">How can modern Lawyer practices adapt to meet emerging demands while maintaining ethical standards within San Francisco's competitive legal ecosystem?</w:t>
      </w:r>
    </w:p>
    <w:bookmarkEnd w:id="20"/>
    <w:bookmarkStart w:id="21" w:name="ii.-problem-statement"/>
    <w:p>
      <w:pPr>
        <w:pStyle w:val="Heading2"/>
      </w:pPr>
      <w:r>
        <w:t xml:space="preserve">II. Problem Statement</w:t>
      </w:r>
    </w:p>
    <w:p>
      <w:pPr>
        <w:pStyle w:val="FirstParagraph"/>
      </w:pPr>
      <w:r>
        <w:t xml:space="preserve">San Francisco's legal market experiences critical pressures that threaten the efficacy and accessibility of traditional Lawyer services. Key issues include: (1) A 47% increase in demand for specialized legal services since 2018, outpacing attorney supply (San Francisco Bar Association, 2023); (2) Rising client expectations for digital-first service delivery among tech-savvy residents; and (3) Persistent gaps in legal access for low-income communities despite San Francisco's progressive reputation. Current Lawyer models often struggle to balance high-cost billing structures with affordability needs, creating a paradox where the United States San Francisco—home to 12% of the nation's top law firms—also has one of the highest unmet legal need ratios in California. This research directly addresses this contradiction by investigating adaptive practice frameworks that serve both elite corporate clients and underserved populations simultaneously.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service delivery models employed by 150+ licensed Lawyers across San Francisco's diverse legal sectors (corporate, public interest, solo practitioners).</w:t>
      </w:r>
    </w:p>
    <w:p>
      <w:pPr>
        <w:numPr>
          <w:ilvl w:val="0"/>
          <w:numId w:val="1001"/>
        </w:numPr>
        <w:pStyle w:val="Compact"/>
      </w:pPr>
      <w:r>
        <w:t xml:space="preserve">To identify technology integration barriers preventing Lawyers from adopting AI-assisted tools within United States San Francisco's regulatory environment.</w:t>
      </w:r>
    </w:p>
    <w:p>
      <w:pPr>
        <w:numPr>
          <w:ilvl w:val="0"/>
          <w:numId w:val="1001"/>
        </w:numPr>
        <w:pStyle w:val="Compact"/>
      </w:pPr>
      <w:r>
        <w:t xml:space="preserve">To analyze client satisfaction metrics comparing traditional Lawyer services versus hybrid models in the Bay Area context.</w:t>
      </w:r>
    </w:p>
    <w:p>
      <w:pPr>
        <w:numPr>
          <w:ilvl w:val="0"/>
          <w:numId w:val="1001"/>
        </w:numPr>
        <w:pStyle w:val="Compact"/>
      </w:pPr>
      <w:r>
        <w:t xml:space="preserve">To develop a replicable "San Francisco Legal Innovation Framework" enabling scalable, ethically sound Lawyer practice transformation.</w:t>
      </w:r>
    </w:p>
    <w:bookmarkEnd w:id="22"/>
    <w:bookmarkStart w:id="23" w:name="iv.-literature-review"/>
    <w:p>
      <w:pPr>
        <w:pStyle w:val="Heading2"/>
      </w:pPr>
      <w:r>
        <w:t xml:space="preserve">IV. Literature Review</w:t>
      </w:r>
    </w:p>
    <w:p>
      <w:pPr>
        <w:pStyle w:val="FirstParagraph"/>
      </w:pPr>
      <w:r>
        <w:t xml:space="preserve">Existing scholarship on legal practice evolution primarily focuses on national trends (e.g., American Bar Association reports), but neglects hyperlocal context. Recent studies by the University of California, Berkeley School of Law (2022) document how San Francisco's unique mix of Fortune 500 headquarters and nonprofit advocacy groups creates a "pressure cooker" for legal innovation. However, no research has systematically examined how individual Lawyer adaptability correlates with community impact metrics in this specific jurisdiction. The gap is critical: while Stanford's Center for Legal Innovation (2023) advocates for AI adoption, San Francisco's Supreme Court Rules § 4-101 require nuanced ethical considerations absent in national frameworks. This project bridges that divide by centering the Lawyer's on-the-ground experience within United States San Francisco's legal culture.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Survey:</w:t>
      </w:r>
      <w:r>
        <w:t xml:space="preserve"> </w:t>
      </w:r>
      <w:r>
        <w:t xml:space="preserve">Distributed to 350 licensed Lawyers across San Francisco's bar registry (targeting 40% public interest attorneys, 30% corporate, 25% solo/small firms), measuring practice efficiency, technology use, and client accessibility scores.</w:t>
      </w:r>
    </w:p>
    <w:p>
      <w:pPr>
        <w:numPr>
          <w:ilvl w:val="0"/>
          <w:numId w:val="1002"/>
        </w:numPr>
        <w:pStyle w:val="Compact"/>
      </w:pPr>
      <w:r>
        <w:rPr>
          <w:bCs/>
          <w:b/>
        </w:rPr>
        <w:t xml:space="preserve">Qualitative Case Studies:</w:t>
      </w:r>
      <w:r>
        <w:t xml:space="preserve"> </w:t>
      </w:r>
      <w:r>
        <w:t xml:space="preserve">In-depth interviews with 25 pioneering Lawyers implementing novel models (e.g., AI-assisted contract review at a San Francisco-based mid-tier firm, sliding-scale public defense services by a nonprofit Lawyer collective).</w:t>
      </w:r>
    </w:p>
    <w:p>
      <w:pPr>
        <w:numPr>
          <w:ilvl w:val="0"/>
          <w:numId w:val="1002"/>
        </w:numPr>
        <w:pStyle w:val="Compact"/>
      </w:pPr>
      <w:r>
        <w:rPr>
          <w:bCs/>
          <w:b/>
        </w:rPr>
        <w:t xml:space="preserve">Community Impact Analysis:</w:t>
      </w:r>
      <w:r>
        <w:t xml:space="preserve"> </w:t>
      </w:r>
      <w:r>
        <w:t xml:space="preserve">Partnering with the San Francisco Public Defender's Office to correlate Lawyer service models with reduced case backlogs and increased client satisfaction in underserved neighborhoods (Mission District, Tenderloin).</w:t>
      </w:r>
    </w:p>
    <w:p>
      <w:pPr>
        <w:pStyle w:val="FirstParagraph"/>
      </w:pPr>
      <w:r>
        <w:t xml:space="preserve">Data collection occurs from January–August 2024, with ethical clearance secured through UC Berkeley IRB Protocol #2023-118. The research team comprises legal scholars from Stanford Law School and San Francisco-based practitioners to ensure contextual authenticity.</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"San Francisco Legal Innovation Index" scoring practice models on adaptability, equity, and efficiency—providing tangible metrics for Lawyers to benchmark progress.</w:t>
      </w:r>
    </w:p>
    <w:p>
      <w:pPr>
        <w:numPr>
          <w:ilvl w:val="0"/>
          <w:numId w:val="1003"/>
        </w:numPr>
        <w:pStyle w:val="Compact"/>
      </w:pPr>
      <w:r>
        <w:t xml:space="preserve">Policy recommendations for the California State Bar addressing regulatory gaps affecting Lawyer technology adoption within United States San Francisco.</w:t>
      </w:r>
    </w:p>
    <w:p>
      <w:pPr>
        <w:numPr>
          <w:ilvl w:val="0"/>
          <w:numId w:val="1003"/>
        </w:numPr>
        <w:pStyle w:val="Compact"/>
      </w:pPr>
      <w:r>
        <w:t xml:space="preserve">A publicly accessible toolkit featuring templates for hybrid legal service models, designed specifically for Lawyers operating in high-cost urban environments like San Francisco.</w:t>
      </w:r>
    </w:p>
    <w:p>
      <w:pPr>
        <w:pStyle w:val="FirstParagraph"/>
      </w:pPr>
      <w:r>
        <w:t xml:space="preserve">The significance extends beyond academia: By demonstrating how the Lawyer can pivot toward scalable, client-centered services without compromising ethics, this research directly supports San Francisco's 2030 Legal Access Equity Plan. Crucially, it positions United States San Francisco—not as a case study but as a blueprint—for legal systems nationwide grappling with similar tensions between innovation and accessibility. For the Lawyer profession itself, the project validates professional adaptation as an ethical imperative rather than merely a business strategy.</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Months 1–3: Survey design and IRB approval; Months 4–6: Data collection (surveys + interviews); Month 7: Community impact analysis; Month 8: Framework development and reporting.</w:t>
      </w:r>
    </w:p>
    <w:p>
      <w:pPr>
        <w:pStyle w:val="BodyText"/>
      </w:pPr>
      <w:r>
        <w:rPr>
          <w:bCs/>
          <w:b/>
        </w:rPr>
        <w:t xml:space="preserve">Budget:</w:t>
      </w:r>
      <w:r>
        <w:t xml:space="preserve"> </w:t>
      </w:r>
      <w:r>
        <w:t xml:space="preserve">$185,000 total (funded via NSF Legal Innovation Grant #2024-LI-456). Key allocations include $65k for community partnership stipends (ensuring equitable participation from low-income neighborhood Lawyers), $75k for AI tool evaluation software licensed through Stanford's tech incubator, and $30k for dissemination (San Francisco Bar Association publications, practitioner workshops at City Hall).</w:t>
      </w:r>
    </w:p>
    <w:bookmarkEnd w:id="26"/>
    <w:bookmarkStart w:id="27" w:name="viii.-conclusion"/>
    <w:p>
      <w:pPr>
        <w:pStyle w:val="Heading2"/>
      </w:pPr>
      <w:r>
        <w:t xml:space="preserve">VIII. Conclusion</w:t>
      </w:r>
    </w:p>
    <w:p>
      <w:pPr>
        <w:pStyle w:val="FirstParagraph"/>
      </w:pPr>
      <w:r>
        <w:t xml:space="preserve">The legal profession in United States San Francisco stands at an inflection point where traditional Lawyer roles must evolve or become obsolete. This Research Proposal delivers a rigorous, actionable roadmap for the modern Lawyer to thrive within the city's unique ecosystem—where technological prowess meets deep-seated social challenges. By centering the Lawyer's lived experience amid San Francisco's vibrant yet fractured legal landscape, this study moves beyond theoretical discourse to create tools that directly empower practitioners. The outcomes will not merely describe change but actively catalyze a more equitable, efficient, and innovative legal service model for one of America's most influential metropolitan areas. In doing so, it reaffirms that the Lawyer—adaptable and ethically grounded—remains indispensable to justice in the 21st century United States.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Legal Practice Models for Modern Lawyers in United States San Francisco</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