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Uzbekistan</w:t>
      </w:r>
      <w:r>
        <w:t xml:space="preserve"> </w:t>
      </w:r>
      <w:r>
        <w:t xml:space="preserve">Tashkent</w:t>
      </w:r>
    </w:p>
    <w:bookmarkStart w:id="29" w:name="X2da2927eaaf24a8b2de8a0500c1d95dceae12e3"/>
    <w:p>
      <w:pPr>
        <w:pStyle w:val="Heading1"/>
      </w:pPr>
      <w:r>
        <w:t xml:space="preserve">Research Proposal: The Evolving Role of Lawyers in Uzbekistan Tashkent – Navigating Legal Reforms and Professional Development</w:t>
      </w:r>
    </w:p>
    <w:bookmarkStart w:id="20" w:name="introduction-and-background"/>
    <w:p>
      <w:pPr>
        <w:pStyle w:val="Heading2"/>
      </w:pPr>
      <w:r>
        <w:t xml:space="preserve">1. Introduction and Background</w:t>
      </w:r>
    </w:p>
    <w:p>
      <w:pPr>
        <w:pStyle w:val="FirstParagraph"/>
      </w:pPr>
      <w:r>
        <w:t xml:space="preserve">In the dynamic legal landscape of Uzbekistan, particularly within its capital city Tashkent, the role of the</w:t>
      </w:r>
      <w:r>
        <w:t xml:space="preserve"> </w:t>
      </w:r>
      <w:r>
        <w:rPr>
          <w:bCs/>
          <w:b/>
        </w:rPr>
        <w:t xml:space="preserve">Lawyer</w:t>
      </w:r>
      <w:r>
        <w:t xml:space="preserve"> </w:t>
      </w:r>
      <w:r>
        <w:t xml:space="preserve">has undergone profound transformation. Since President Shavkat Mirziyoyev's sweeping judicial reforms initiated in 2016, Uzbekistan has embarked on an ambitious journey to modernize its legal framework, aligning with international standards while preserving cultural context. Tashkent, as the political, economic, and judicial hub of the nation, serves as a critical laboratory for these changes.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Lawyer</w:t>
      </w:r>
      <w:r>
        <w:t xml:space="preserve">s in Uzbekistan Tashkent navigate systemic reforms, client demands, and professional challenges amid rapid legal evolution. With the government prioritizing judicial independence and access to justice through initiatives like the 2019 Law on Advocacy, this study seeks to map the practical realities faced by legal practitioners in Central Asia's most influential city.</w:t>
      </w:r>
    </w:p>
    <w:bookmarkEnd w:id="20"/>
    <w:bookmarkStart w:id="21" w:name="problem-statement"/>
    <w:p>
      <w:pPr>
        <w:pStyle w:val="Heading2"/>
      </w:pPr>
      <w:r>
        <w:t xml:space="preserve">2. Problem Statement</w:t>
      </w:r>
    </w:p>
    <w:p>
      <w:pPr>
        <w:pStyle w:val="FirstParagraph"/>
      </w:pPr>
      <w:r>
        <w:t xml:space="preserve">Despite Uzbekistan's commendable legal reforms—including the 2018 amendments to the Constitution guaranteeing judicial independence and the 2019 Advocacy Law—empirical research on ground-level lawyer experiences remains scarce. Existing studies focus on legislative texts rather than practitioner perspectives. This oversight creates a significant knowledge gap: How do</w:t>
      </w:r>
      <w:r>
        <w:t xml:space="preserve"> </w:t>
      </w:r>
      <w:r>
        <w:rPr>
          <w:bCs/>
          <w:b/>
        </w:rPr>
        <w:t xml:space="preserve">Lawyer</w:t>
      </w:r>
      <w:r>
        <w:t xml:space="preserve">s in Uzbekistan Tashkent adapt to new procedural rules, ethical frameworks, and client expectations? What barriers persist in implementing reforms within Tashkent's unique socio-legal ecosystem? Without addressing these questions, the sustainability of Uzbekistan's judicial transformation is jeopardized. This</w:t>
      </w:r>
      <w:r>
        <w:t xml:space="preserve"> </w:t>
      </w:r>
      <w:r>
        <w:rPr>
          <w:bCs/>
          <w:b/>
        </w:rPr>
        <w:t xml:space="preserve">Research Proposal</w:t>
      </w:r>
      <w:r>
        <w:t xml:space="preserve"> </w:t>
      </w:r>
      <w:r>
        <w:t xml:space="preserve">directly confronts this void by centering on the lived experiences of legal professionals operating at the heart of Uzbekistan’s legal reform movement.</w:t>
      </w:r>
    </w:p>
    <w:bookmarkEnd w:id="21"/>
    <w:bookmarkStart w:id="22" w:name="research-objectives"/>
    <w:p>
      <w:pPr>
        <w:pStyle w:val="Heading2"/>
      </w:pPr>
      <w:r>
        <w:t xml:space="preserve">3. Research Objectives</w:t>
      </w:r>
    </w:p>
    <w:p>
      <w:pPr>
        <w:numPr>
          <w:ilvl w:val="0"/>
          <w:numId w:val="1001"/>
        </w:numPr>
        <w:pStyle w:val="Compact"/>
      </w:pPr>
      <w:r>
        <w:t xml:space="preserve">To analyze how post-2016 judicial reforms have altered daily practice patterns for lawyers in Tashkent.</w:t>
      </w:r>
    </w:p>
    <w:p>
      <w:pPr>
        <w:numPr>
          <w:ilvl w:val="0"/>
          <w:numId w:val="1001"/>
        </w:numPr>
        <w:pStyle w:val="Compact"/>
      </w:pPr>
      <w:r>
        <w:t xml:space="preserve">To identify systemic barriers (bureaucratic, cultural, or resource-based) impeding effective legal representation in Uzbekistan Tashkent.</w:t>
      </w:r>
    </w:p>
    <w:p>
      <w:pPr>
        <w:numPr>
          <w:ilvl w:val="0"/>
          <w:numId w:val="1001"/>
        </w:numPr>
        <w:pStyle w:val="Compact"/>
      </w:pPr>
      <w:r>
        <w:t xml:space="preserve">To evaluate the impact of new advocacy regulations on lawyer-client relationships and ethical conduct.</w:t>
      </w:r>
    </w:p>
    <w:p>
      <w:pPr>
        <w:numPr>
          <w:ilvl w:val="0"/>
          <w:numId w:val="1001"/>
        </w:numPr>
        <w:pStyle w:val="Compact"/>
      </w:pPr>
      <w:r>
        <w:t xml:space="preserve">To assess the role of professional development initiatives in enhancing legal competency among Tashkent-based practitioners.</w:t>
      </w:r>
    </w:p>
    <w:p>
      <w:pPr>
        <w:numPr>
          <w:ilvl w:val="0"/>
          <w:numId w:val="1001"/>
        </w:numPr>
        <w:pStyle w:val="Compact"/>
      </w:pPr>
      <w:r>
        <w:t xml:space="preserve">To propose evidence-based recommendations for policymakers to strengthen the legal profession in Uzbekistan Tashkent.</w:t>
      </w:r>
    </w:p>
    <w:bookmarkEnd w:id="22"/>
    <w:bookmarkStart w:id="23" w:name="literature-review-key-gaps"/>
    <w:p>
      <w:pPr>
        <w:pStyle w:val="Heading2"/>
      </w:pPr>
      <w:r>
        <w:t xml:space="preserve">4. Literature Review (Key Gaps)</w:t>
      </w:r>
    </w:p>
    <w:p>
      <w:pPr>
        <w:pStyle w:val="FirstParagraph"/>
      </w:pPr>
      <w:r>
        <w:t xml:space="preserve">Current scholarship on Central Asian legal systems primarily examines macro-level policy shifts (e.g., Potts, 2019) or comparative studies with post-Soviet states (Kozlova, 2021). However, no comprehensive study focuses on the</w:t>
      </w:r>
      <w:r>
        <w:t xml:space="preserve"> </w:t>
      </w:r>
      <w:r>
        <w:rPr>
          <w:bCs/>
          <w:b/>
        </w:rPr>
        <w:t xml:space="preserve">Lawyer</w:t>
      </w:r>
      <w:r>
        <w:t xml:space="preserve">'s perspective in Uzbekistan's capital. While research exists on judicial reforms in Tashkent (e.g., Khamidova, 2020), it neglects frontline practitioner insights. This gap is critical: as noted by the World Bank (2022), "Legal reform success hinges on the capacity of legal professionals to operationalize new frameworks." Our study bridges this disconnect by prioritizing qualitative data from Tashkent's legal community.</w:t>
      </w:r>
    </w:p>
    <w:bookmarkEnd w:id="23"/>
    <w:bookmarkStart w:id="24" w:name="methodology"/>
    <w:p>
      <w:pPr>
        <w:pStyle w:val="Heading2"/>
      </w:pPr>
      <w:r>
        <w:t xml:space="preserve">5. Methodology</w:t>
      </w:r>
    </w:p>
    <w:p>
      <w:pPr>
        <w:pStyle w:val="FirstParagraph"/>
      </w:pPr>
      <w:r>
        <w:t xml:space="preserve">This mixed-methods study employs a triangulated approach across three phases:</w:t>
      </w:r>
    </w:p>
    <w:p>
      <w:pPr>
        <w:numPr>
          <w:ilvl w:val="0"/>
          <w:numId w:val="1002"/>
        </w:numPr>
        <w:pStyle w:val="Compact"/>
      </w:pPr>
      <w:r>
        <w:rPr>
          <w:bCs/>
          <w:b/>
        </w:rPr>
        <w:t xml:space="preserve">Phase 1: Document Analysis (Months 1-3)</w:t>
      </w:r>
      <w:r>
        <w:t xml:space="preserve"> </w:t>
      </w:r>
      <w:r>
        <w:t xml:space="preserve">– Review of Uzbekistan's post-2016 legal codes, court records, and advocacy regulations from Tashkent’s Bar Association archives.</w:t>
      </w:r>
    </w:p>
    <w:p>
      <w:pPr>
        <w:numPr>
          <w:ilvl w:val="0"/>
          <w:numId w:val="1002"/>
        </w:numPr>
        <w:pStyle w:val="Compact"/>
      </w:pPr>
      <w:r>
        <w:rPr>
          <w:bCs/>
          <w:b/>
        </w:rPr>
        <w:t xml:space="preserve">Phase 2: Qualitative Fieldwork (Months 4-8)</w:t>
      </w:r>
      <w:r>
        <w:t xml:space="preserve"> </w:t>
      </w:r>
      <w:r>
        <w:t xml:space="preserve">– Semi-structured interviews with 35+ practicing lawyers across Tashkent’s diverse legal sectors (corporate, criminal, civil), supplemented by focus groups with judicial officers and legal educators. Sampling prioritizes gender balance and regional representation within the city.</w:t>
      </w:r>
    </w:p>
    <w:p>
      <w:pPr>
        <w:numPr>
          <w:ilvl w:val="0"/>
          <w:numId w:val="1002"/>
        </w:numPr>
        <w:pStyle w:val="Compact"/>
      </w:pPr>
      <w:r>
        <w:rPr>
          <w:bCs/>
          <w:b/>
        </w:rPr>
        <w:t xml:space="preserve">Phase 3: Quantitative Survey (Months 9-10)</w:t>
      </w:r>
      <w:r>
        <w:t xml:space="preserve"> </w:t>
      </w:r>
      <w:r>
        <w:t xml:space="preserve">– A structured questionnaire administered to Tashkent’s 2,800+ licensed lawyers via the Uzbekistan Bar Association, measuring metrics like reform adoption rates, ethical dilemmas encountered, and training needs.</w:t>
      </w:r>
    </w:p>
    <w:p>
      <w:pPr>
        <w:pStyle w:val="FirstParagraph"/>
      </w:pPr>
      <w:r>
        <w:t xml:space="preserve">Research ethics compliance will be ensured through anonymized data collection and approval from Tashkent State University of Law’s IRB. Data analysis will employ NVivo for thematic coding (qualitative) and SPSS for statistical patterns (quantitative).</w:t>
      </w:r>
    </w:p>
    <w:bookmarkEnd w:id="24"/>
    <w:bookmarkStart w:id="25" w:name="expected-outcomes"/>
    <w:p>
      <w:pPr>
        <w:pStyle w:val="Heading2"/>
      </w:pPr>
      <w:r>
        <w:t xml:space="preserve">6. Expected Outcomes</w:t>
      </w:r>
    </w:p>
    <w:p>
      <w:pPr>
        <w:pStyle w:val="FirstParagraph"/>
      </w:pPr>
      <w:r>
        <w:t xml:space="preserve">This study anticipates four key contributions to the field:</w:t>
      </w:r>
    </w:p>
    <w:p>
      <w:pPr>
        <w:numPr>
          <w:ilvl w:val="0"/>
          <w:numId w:val="1003"/>
        </w:numPr>
        <w:pStyle w:val="Compact"/>
      </w:pPr>
      <w:r>
        <w:rPr>
          <w:bCs/>
          <w:b/>
        </w:rPr>
        <w:t xml:space="preserve">Practical Insight</w:t>
      </w:r>
      <w:r>
        <w:t xml:space="preserve">: A detailed "Day in the Life" framework for Tashkent lawyers, revealing how reforms manifest in courtroom procedures, client consultations, and case management.</w:t>
      </w:r>
    </w:p>
    <w:p>
      <w:pPr>
        <w:numPr>
          <w:ilvl w:val="0"/>
          <w:numId w:val="1003"/>
        </w:numPr>
        <w:pStyle w:val="Compact"/>
      </w:pPr>
      <w:r>
        <w:rPr>
          <w:bCs/>
          <w:b/>
        </w:rPr>
        <w:t xml:space="preserve">Barriers Mapping</w:t>
      </w:r>
      <w:r>
        <w:t xml:space="preserve">: Identification of three critical obstacles—e.g., outdated court IT systems hindering digital evidence submission or cultural resistance to client-centered advocacy—which will be prioritized for policy intervention.</w:t>
      </w:r>
    </w:p>
    <w:p>
      <w:pPr>
        <w:numPr>
          <w:ilvl w:val="0"/>
          <w:numId w:val="1003"/>
        </w:numPr>
        <w:pStyle w:val="Compact"/>
      </w:pPr>
      <w:r>
        <w:rPr>
          <w:bCs/>
          <w:b/>
        </w:rPr>
        <w:t xml:space="preserve">Training Blueprint</w:t>
      </w:r>
      <w:r>
        <w:t xml:space="preserve">: Evidence-based recommendations for Tashkent’s legal education institutions to integrate reform-aligned curricula, addressing competency gaps highlighted in the survey.</w:t>
      </w:r>
    </w:p>
    <w:p>
      <w:pPr>
        <w:numPr>
          <w:ilvl w:val="0"/>
          <w:numId w:val="1003"/>
        </w:numPr>
        <w:pStyle w:val="Compact"/>
      </w:pPr>
      <w:r>
        <w:rPr>
          <w:bCs/>
          <w:b/>
        </w:rPr>
        <w:t xml:space="preserve">Policy Impact</w:t>
      </w:r>
      <w:r>
        <w:t xml:space="preserve">: A draft framework for Uzbekistan’s Ministry of Justice to streamline lawyer registration, ethics enforcement, and cross-jurisdictional collaboration within Tashkent.</w:t>
      </w:r>
    </w:p>
    <w:bookmarkEnd w:id="25"/>
    <w:bookmarkStart w:id="26" w:name="significance-for-uzbekistan-tashkent"/>
    <w:p>
      <w:pPr>
        <w:pStyle w:val="Heading2"/>
      </w:pPr>
      <w:r>
        <w:t xml:space="preserve">7. Significance for Uzbekistan Tashkent</w:t>
      </w:r>
    </w:p>
    <w:p>
      <w:pPr>
        <w:pStyle w:val="FirstParagraph"/>
      </w:pPr>
      <w:r>
        <w:t xml:space="preserve">The outcomes of this research will directly serve the needs of Uzbekistan Tashkent as a model city for legal innovation. By centering on local practitioners, the findings avoid theoretical abstraction and provide actionable intelligence for:</w:t>
      </w:r>
    </w:p>
    <w:p>
      <w:pPr>
        <w:numPr>
          <w:ilvl w:val="0"/>
          <w:numId w:val="1004"/>
        </w:numPr>
        <w:pStyle w:val="Compact"/>
      </w:pPr>
      <w:r>
        <w:rPr>
          <w:bCs/>
          <w:b/>
        </w:rPr>
        <w:t xml:space="preserve">Government Stakeholders</w:t>
      </w:r>
      <w:r>
        <w:t xml:space="preserve">: The Ministry of Justice can refine advocacy regulations based on real-world feedback.</w:t>
      </w:r>
    </w:p>
    <w:p>
      <w:pPr>
        <w:numPr>
          <w:ilvl w:val="0"/>
          <w:numId w:val="1004"/>
        </w:numPr>
        <w:pStyle w:val="Compact"/>
      </w:pPr>
      <w:r>
        <w:rPr>
          <w:bCs/>
          <w:b/>
        </w:rPr>
        <w:t xml:space="preserve">Legal Institutions</w:t>
      </w:r>
      <w:r>
        <w:t xml:space="preserve">: Tashkent Bar Association may redesign training programs to address identified skill gaps (e.g., digital literacy, international arbitration).</w:t>
      </w:r>
    </w:p>
    <w:p>
      <w:pPr>
        <w:numPr>
          <w:ilvl w:val="0"/>
          <w:numId w:val="1004"/>
        </w:numPr>
        <w:pStyle w:val="Compact"/>
      </w:pPr>
      <w:r>
        <w:rPr>
          <w:bCs/>
          <w:b/>
        </w:rPr>
        <w:t xml:space="preserve">Society at Large</w:t>
      </w:r>
      <w:r>
        <w:t xml:space="preserve">: Enhanced lawyer competency will improve access to justice for 3.5 million Tashkent residents, directly supporting Uzbekistan’s UN Sustainable Development Goal 16 commitments on peaceful societies.</w:t>
      </w:r>
    </w:p>
    <w:p>
      <w:pPr>
        <w:pStyle w:val="FirstParagraph"/>
      </w:pPr>
      <w:r>
        <w:t xml:space="preserve">Crucially, this research positions</w:t>
      </w:r>
      <w:r>
        <w:t xml:space="preserve"> </w:t>
      </w:r>
      <w:r>
        <w:rPr>
          <w:bCs/>
          <w:b/>
        </w:rPr>
        <w:t xml:space="preserve">Uzbekistan Tashkent</w:t>
      </w:r>
      <w:r>
        <w:t xml:space="preserve"> </w:t>
      </w:r>
      <w:r>
        <w:t xml:space="preserve">as an emerging benchmark in post-Soviet legal development—demonstrating how a capital city can drive national reform through evidence-based legal practice analysis.</w:t>
      </w:r>
    </w:p>
    <w:bookmarkEnd w:id="26"/>
    <w:bookmarkStart w:id="27" w:name="timeline-12-month-project"/>
    <w:p>
      <w:pPr>
        <w:pStyle w:val="Heading2"/>
      </w:pPr>
      <w:r>
        <w:t xml:space="preserve">8. 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Document review, ethics approval, literature synthesis</w:t>
      </w:r>
    </w:p>
    <w:p>
      <w:pPr>
        <w:pStyle w:val="BodyText"/>
      </w:pPr>
      <w:r>
        <w:t xml:space="preserve">4-6</w:t>
      </w:r>
    </w:p>
    <w:p>
      <w:pPr>
        <w:pStyle w:val="BodyText"/>
      </w:pPr>
      <w:r>
        <w:t xml:space="preserve">Interview protocol design; recruitment of legal participants in Tashkent</w:t>
      </w:r>
    </w:p>
    <w:p>
      <w:pPr>
        <w:pStyle w:val="BodyText"/>
      </w:pPr>
      <w:r>
        <w:t xml:space="preserve">7-8</w:t>
      </w:r>
    </w:p>
    <w:p>
      <w:pPr>
        <w:pStyle w:val="BodyText"/>
      </w:pPr>
      <w:r>
        <w:t xml:space="preserve">Data collection: Field interviews/focus groups across Tashkent districts (Yunusobod, Chilanzar, etc.)</w:t>
      </w:r>
    </w:p>
    <w:p>
      <w:pPr>
        <w:pStyle w:val="BodyText"/>
      </w:pPr>
      <w:r>
        <w:t xml:space="preserve">9-10</w:t>
      </w:r>
    </w:p>
    <w:p>
      <w:pPr>
        <w:pStyle w:val="BodyText"/>
      </w:pPr>
      <w:r>
        <w:t xml:space="preserve">Survey deployment; quantitative data analysis</w:t>
      </w:r>
    </w:p>
    <w:p>
      <w:pPr>
        <w:pStyle w:val="BodyText"/>
      </w:pPr>
      <w:r>
        <w:t xml:space="preserve">11-12</w:t>
      </w:r>
    </w:p>
    <w:p>
      <w:pPr>
        <w:pStyle w:val="BodyText"/>
      </w:pPr>
      <w:r>
        <w:t xml:space="preserve">Drafting policy recommendations; final report submission to Uzbekistan Ministry of Justice and Tashkent Bar Association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pivotal moment in Uzbekistan’s legal history, where the city of Tashkent acts as both catalyst and microcosm for national transformation. By placing the</w:t>
      </w:r>
      <w:r>
        <w:t xml:space="preserve"> </w:t>
      </w:r>
      <w:r>
        <w:rPr>
          <w:bCs/>
          <w:b/>
        </w:rPr>
        <w:t xml:space="preserve">Lawyer</w:t>
      </w:r>
      <w:r>
        <w:t xml:space="preserve"> </w:t>
      </w:r>
      <w:r>
        <w:t xml:space="preserve">at the center of analysis, we move beyond theoretical policy discussions to illuminate actionable pathways for building a modern, equitable justice system in Uzbekistan Tashkent. The study’s findings will equip stakeholders with data-driven strategies to empower legal professionals—ultimately strengthening rule of law across Uzbekistan. As the nation advances toward becoming a regional legal hub, this research ensures that reform efforts are rooted in the practical realities faced by those delivering justice daily: the</w:t>
      </w:r>
      <w:r>
        <w:t xml:space="preserve"> </w:t>
      </w:r>
      <w:r>
        <w:rPr>
          <w:bCs/>
          <w:b/>
        </w:rPr>
        <w:t xml:space="preserve">Lawyer</w:t>
      </w:r>
      <w:r>
        <w:t xml:space="preserve">s of Tashkent.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Uzbekistan Tashkent</dc:title>
  <dc:creator/>
  <dc:language>en</dc:language>
  <cp:keywords/>
  <dcterms:created xsi:type="dcterms:W3CDTF">2026-07-23T14:30:51Z</dcterms:created>
  <dcterms:modified xsi:type="dcterms:W3CDTF">2026-07-23T14:30:51Z</dcterms:modified>
</cp:coreProperties>
</file>

<file path=docProps/custom.xml><?xml version="1.0" encoding="utf-8"?>
<Properties xmlns="http://schemas.openxmlformats.org/officeDocument/2006/custom-properties" xmlns:vt="http://schemas.openxmlformats.org/officeDocument/2006/docPropsVTypes"/>
</file>