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Kuwait</w:t>
      </w:r>
      <w:r>
        <w:t xml:space="preserve"> </w:t>
      </w:r>
      <w:r>
        <w:t xml:space="preserve">City</w:t>
      </w:r>
    </w:p>
    <w:bookmarkStart w:id="29" w:name="X944518191d8383cc3c59c1170634aaab4e2d8c6"/>
    <w:p>
      <w:pPr>
        <w:pStyle w:val="Heading1"/>
      </w:pPr>
      <w:r>
        <w:t xml:space="preserve">Research Proposal: Advancing the Professional Landscape of Librarians in Kuwait City, Kuwait</w:t>
      </w:r>
    </w:p>
    <w:bookmarkStart w:id="20" w:name="introduction-and-background"/>
    <w:p>
      <w:pPr>
        <w:pStyle w:val="Heading2"/>
      </w:pPr>
      <w:r>
        <w:t xml:space="preserve">1. Introduction and Background</w:t>
      </w:r>
    </w:p>
    <w:p>
      <w:pPr>
        <w:pStyle w:val="FirstParagraph"/>
      </w:pPr>
      <w:r>
        <w:t xml:space="preserve">The rapid digital transformation and cultural evolution within Kuwait City necessitate a comprehensive examination of the modern librarian's role within the nation's library ecosystem. As the capital city and administrative heart of Kuwait, Kuwait City hosts diverse libraries—public, academic, government, and specialized institutions—that serve as critical knowledge hubs for over 2.5 million residents. However, traditional librarian functions are increasingly challenged by technological disruption, shifting user expectations, and evolving educational mandates. This research proposal addresses a critical gap: while global library science discourse emphasizes digital literacy and community engagement frameworks (Mellor &amp; Pugh, 2017), there is minimal localized research on how Kuwait City's librarians navigate these changes within the unique socio-cultural context of Kuwait. The proposed study will investigate the professional identity, skill requirements, and institutional support systems for librarians operating in Kuwait City, positioning them as catalysts for national knowledge development rather than passive custodians of collections.</w:t>
      </w:r>
    </w:p>
    <w:bookmarkEnd w:id="20"/>
    <w:bookmarkStart w:id="21" w:name="problem-statement"/>
    <w:p>
      <w:pPr>
        <w:pStyle w:val="Heading2"/>
      </w:pPr>
      <w:r>
        <w:t xml:space="preserve">2. Problem Statement</w:t>
      </w:r>
    </w:p>
    <w:p>
      <w:pPr>
        <w:pStyle w:val="FirstParagraph"/>
      </w:pPr>
      <w:r>
        <w:t xml:space="preserve">Kuwait City's library sector faces three interconnected challenges that undermine its potential to fulfill UNESCO's vision of libraries as "community centers for lifelong learning" (UNESCO, 2019). First, librarians often lack formal training in digital curation and data literacy—skills increasingly demanded by Kuwaiti youth and government digital initiatives like the National e-Strategy. Second, institutional support remains fragmented across municipal, university, and private library systems without standardized professional development pathways. Third, community engagement models rarely incorporate Kuwaiti cultural norms or Arabic digital content priorities (Al-Suwaidi et al., 2021). Consequently, libraries in Kuwait City risk becoming obsolete in the face of rising online information access. This research directly confronts these issues by centering the librarian as the pivotal agent for institutional renewal.</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competencies, job roles, and training needs of 150+ librarians across Kuwait City's major libraries (including National Library, Public Libraries Authority branches, and university libraries).</w:t>
      </w:r>
    </w:p>
    <w:p>
      <w:pPr>
        <w:numPr>
          <w:ilvl w:val="0"/>
          <w:numId w:val="1001"/>
        </w:numPr>
        <w:pStyle w:val="Compact"/>
      </w:pPr>
      <w:r>
        <w:t xml:space="preserve">To analyze how cultural context shapes librarian-led initiatives in community knowledge access—particularly regarding gender-inclusive services and Arabic-language digital resources.</w:t>
      </w:r>
    </w:p>
    <w:p>
      <w:pPr>
        <w:numPr>
          <w:ilvl w:val="0"/>
          <w:numId w:val="1001"/>
        </w:numPr>
        <w:pStyle w:val="Compact"/>
      </w:pPr>
      <w:r>
        <w:t xml:space="preserve">To co-design a culturally responsive professional development framework for Kuwaiti librarians with stakeholders from the Ministry of Information, Kuwait University Library, and municipal libraries.</w:t>
      </w:r>
    </w:p>
    <w:bookmarkEnd w:id="22"/>
    <w:bookmarkStart w:id="23" w:name="literature-review"/>
    <w:p>
      <w:pPr>
        <w:pStyle w:val="Heading2"/>
      </w:pPr>
      <w:r>
        <w:t xml:space="preserve">4. Literature Review</w:t>
      </w:r>
    </w:p>
    <w:p>
      <w:pPr>
        <w:pStyle w:val="FirstParagraph"/>
      </w:pPr>
      <w:r>
        <w:t xml:space="preserve">Existing literature on Gulf librarianship predominantly focuses on infrastructure development (e.g., Saudi Arabia's Vision 2030 library projects), neglecting human capital dynamics in Kuwait City (Al-Dosari, 2019). Studies from Dubai highlight librarian training gaps but overlook Kuwait's distinct social structure where family and religious values deeply influence service delivery (Abdullah &amp; Al-Omair, 2021). Crucially, no research has examined how Kuwaiti librarians balance modern information science with traditional Arab bibliographic practices. This study bridges that gap by integrating three theoretical lenses: cultural competence theory (Sue et al., 2019), digital citizenship frameworks (Jenkins et al., 2009), and Gulf-specific institutional sociology. By anchoring our methodology in Kuwait City's real-world library operations, this research will generate contextually valid insights absent in current global scholarship.</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six months:</w:t>
      </w:r>
    </w:p>
    <w:p>
      <w:pPr>
        <w:numPr>
          <w:ilvl w:val="0"/>
          <w:numId w:val="1002"/>
        </w:numPr>
        <w:pStyle w:val="Compact"/>
      </w:pPr>
      <w:r>
        <w:rPr>
          <w:bCs/>
          <w:b/>
        </w:rPr>
        <w:t xml:space="preserve">Phase 1 (Quantitative):</w:t>
      </w:r>
      <w:r>
        <w:t xml:space="preserve"> </w:t>
      </w:r>
      <w:r>
        <w:t xml:space="preserve">Online survey of all 300+ librarians in Kuwait City libraries, measuring skills gaps (digital literacy, community engagement), job satisfaction, and institutional support perception. Target response rate: 75%.</w:t>
      </w:r>
    </w:p>
    <w:p>
      <w:pPr>
        <w:numPr>
          <w:ilvl w:val="0"/>
          <w:numId w:val="1002"/>
        </w:numPr>
        <w:pStyle w:val="Compact"/>
      </w:pPr>
      <w:r>
        <w:rPr>
          <w:bCs/>
          <w:b/>
        </w:rPr>
        <w:t xml:space="preserve">Phase 2 (Qualitative):</w:t>
      </w:r>
      <w:r>
        <w:t xml:space="preserve"> </w:t>
      </w:r>
      <w:r>
        <w:t xml:space="preserve">Focus groups with library directors and selected librarians from diverse institutions (public, university, gender-specific branches) exploring case studies of successful community initiatives (e.g., literacy programs for women in Al-Salmiya district).</w:t>
      </w:r>
    </w:p>
    <w:p>
      <w:pPr>
        <w:numPr>
          <w:ilvl w:val="0"/>
          <w:numId w:val="1002"/>
        </w:numPr>
        <w:pStyle w:val="Compact"/>
      </w:pPr>
      <w:r>
        <w:rPr>
          <w:bCs/>
          <w:b/>
        </w:rPr>
        <w:t xml:space="preserve">Phase 3 (Co-Design Workshop):</w:t>
      </w:r>
      <w:r>
        <w:t xml:space="preserve"> </w:t>
      </w:r>
      <w:r>
        <w:t xml:space="preserve">Collaborative workshop with stakeholders to prototype a competency matrix aligned with Kuwait's Vision 2035 educational goals. This will incorporate feedback on Arabic digital preservation standards and culturally appropriate user interaction models.</w:t>
      </w:r>
    </w:p>
    <w:p>
      <w:pPr>
        <w:pStyle w:val="FirstParagraph"/>
      </w:pPr>
      <w:r>
        <w:t xml:space="preserve">All data collection will comply with Kuwaiti ethical guidelines, prioritizing confidentiality for participants across gender-segregated library services. The research team includes a Kuwaiti library science professor and a cultural anthropologist specializing in Gulf education systems.</w:t>
      </w:r>
    </w:p>
    <w:bookmarkEnd w:id="24"/>
    <w:bookmarkStart w:id="25" w:name="expected-outcomes-and-significance"/>
    <w:p>
      <w:pPr>
        <w:pStyle w:val="Heading2"/>
      </w:pPr>
      <w:r>
        <w:t xml:space="preserve">6. Expected Outcomes and Significance</w:t>
      </w:r>
    </w:p>
    <w:p>
      <w:pPr>
        <w:pStyle w:val="FirstParagraph"/>
      </w:pPr>
      <w:r>
        <w:t xml:space="preserve">This study will yield four key deliverables directly benefiting Kuwait City's knowledge infrastructure:</w:t>
      </w:r>
    </w:p>
    <w:p>
      <w:pPr>
        <w:numPr>
          <w:ilvl w:val="0"/>
          <w:numId w:val="1003"/>
        </w:numPr>
        <w:pStyle w:val="Compact"/>
      </w:pPr>
      <w:r>
        <w:rPr>
          <w:bCs/>
          <w:b/>
        </w:rPr>
        <w:t xml:space="preserve">Competency Framework:</w:t>
      </w:r>
      <w:r>
        <w:t xml:space="preserve"> </w:t>
      </w:r>
      <w:r>
        <w:t xml:space="preserve">A validated librarian professional standard tailored to Kuwait City’s needs, addressing gaps in metadata creation for Arabic digital archives and social media engagement strategies for youth audiences.</w:t>
      </w:r>
    </w:p>
    <w:p>
      <w:pPr>
        <w:numPr>
          <w:ilvl w:val="0"/>
          <w:numId w:val="1003"/>
        </w:numPr>
        <w:pStyle w:val="Compact"/>
      </w:pPr>
      <w:r>
        <w:rPr>
          <w:bCs/>
          <w:b/>
        </w:rPr>
        <w:t xml:space="preserve">Policy Briefing:</w:t>
      </w:r>
      <w:r>
        <w:t xml:space="preserve"> </w:t>
      </w:r>
      <w:r>
        <w:t xml:space="preserve">Evidence-based recommendations for the Ministry of Information on integrating librarian input into national e-access initiatives, including budget allocation for continuous training.</w:t>
      </w:r>
    </w:p>
    <w:p>
      <w:pPr>
        <w:numPr>
          <w:ilvl w:val="0"/>
          <w:numId w:val="1003"/>
        </w:numPr>
        <w:pStyle w:val="Compact"/>
      </w:pPr>
      <w:r>
        <w:rPr>
          <w:bCs/>
          <w:b/>
        </w:rPr>
        <w:t xml:space="preserve">Community Engagement Toolkit:</w:t>
      </w:r>
      <w:r>
        <w:t xml:space="preserve"> </w:t>
      </w:r>
      <w:r>
        <w:t xml:space="preserve">Culturally adapted templates for library programs addressing local priorities—such as career guidance sessions in partnership with Kuwait University or Quranic studies digital archives.</w:t>
      </w:r>
    </w:p>
    <w:p>
      <w:pPr>
        <w:numPr>
          <w:ilvl w:val="0"/>
          <w:numId w:val="1003"/>
        </w:numPr>
        <w:pStyle w:val="Compact"/>
      </w:pPr>
      <w:r>
        <w:rPr>
          <w:bCs/>
          <w:b/>
        </w:rPr>
        <w:t xml:space="preserve">Academic Contribution:</w:t>
      </w:r>
      <w:r>
        <w:t xml:space="preserve"> </w:t>
      </w:r>
      <w:r>
        <w:t xml:space="preserve">A new theoretical model of "Gulf Digital Librarianship" demonstrating how librarians mediate between global information systems and local cultural values—a framework applicable across GCC nations.</w:t>
      </w:r>
    </w:p>
    <w:p>
      <w:pPr>
        <w:pStyle w:val="FirstParagraph"/>
      </w:pPr>
      <w:r>
        <w:t xml:space="preserve">The significance extends beyond academia: Kuwait City's libraries are vital for national development goals like education diversification and youth empowerment. Empowered librarians will directly enhance the city’s capacity to implement knowledge-based economic policies, reducing reliance on oil-dependent sectors as outlined in Kuwait Vision 2035.</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Draft survey, secure approvals from Kuwaiti National Research Ethics Committee, finalize stakeholder list.</w:t>
            </w:r>
          </w:p>
        </w:tc>
      </w:tr>
      <w:tr>
        <w:tc>
          <w:tcPr/>
          <w:p>
            <w:pPr>
              <w:pStyle w:val="Compact"/>
              <w:jc w:val="left"/>
            </w:pPr>
            <w:r>
              <w:t xml:space="preserve">Data Collection (Survey + Focus Groups)</w:t>
            </w:r>
          </w:p>
        </w:tc>
        <w:tc>
          <w:tcPr/>
          <w:p>
            <w:pPr>
              <w:pStyle w:val="Compact"/>
              <w:jc w:val="left"/>
            </w:pPr>
            <w:r>
              <w:t xml:space="preserve">Month 3-4</w:t>
            </w:r>
          </w:p>
        </w:tc>
        <w:tc>
          <w:tcPr/>
          <w:p>
            <w:pPr>
              <w:pStyle w:val="Compact"/>
              <w:jc w:val="left"/>
            </w:pPr>
            <w:r>
              <w:t xml:space="preserve">Administer survey, conduct 6 focus groups across Kuwait City districts.</w:t>
            </w:r>
          </w:p>
        </w:tc>
      </w:tr>
      <w:tr>
        <w:tc>
          <w:tcPr/>
          <w:p>
            <w:pPr>
              <w:pStyle w:val="Compact"/>
              <w:jc w:val="left"/>
            </w:pPr>
            <w:r>
              <w:t xml:space="preserve">Data Analysis &amp; Workshop</w:t>
            </w:r>
          </w:p>
        </w:tc>
        <w:tc>
          <w:tcPr/>
          <w:p>
            <w:pPr>
              <w:pStyle w:val="Compact"/>
              <w:jc w:val="left"/>
            </w:pPr>
            <w:r>
              <w:t xml:space="preserve">Month 5</w:t>
            </w:r>
          </w:p>
        </w:tc>
        <w:tc>
          <w:tcPr/>
          <w:p>
            <w:pPr>
              <w:pStyle w:val="Compact"/>
              <w:jc w:val="left"/>
            </w:pPr>
            <w:r>
              <w:t xml:space="preserve">Analyze findings, host co-design workshop with Ministry of Information representatives.</w:t>
            </w:r>
          </w:p>
        </w:tc>
      </w:tr>
      <w:tr>
        <w:tc>
          <w:tcPr/>
          <w:p>
            <w:pPr>
              <w:pStyle w:val="Compact"/>
              <w:jc w:val="left"/>
            </w:pPr>
            <w:r>
              <w:t xml:space="preserve">Final Report &amp; Dissemination</w:t>
            </w:r>
          </w:p>
        </w:tc>
        <w:tc>
          <w:tcPr/>
          <w:p>
            <w:pPr>
              <w:pStyle w:val="Compact"/>
              <w:jc w:val="left"/>
            </w:pPr>
            <w:r>
              <w:t xml:space="preserve">Month 6</w:t>
            </w:r>
          </w:p>
        </w:tc>
        <w:tc>
          <w:tcPr/>
          <w:p>
            <w:pPr>
              <w:pStyle w:val="Compact"/>
              <w:jc w:val="left"/>
            </w:pPr>
            <w:r>
              <w:t xml:space="preserve">Produce policy brief and academic publication; present findings at Kuwait Library Association conference.</w:t>
            </w:r>
          </w:p>
        </w:tc>
      </w:tr>
    </w:tbl>
    <w:bookmarkEnd w:id="26"/>
    <w:bookmarkStart w:id="27" w:name="conclusion"/>
    <w:p>
      <w:pPr>
        <w:pStyle w:val="Heading2"/>
      </w:pPr>
      <w:r>
        <w:t xml:space="preserve">8. Conclusion</w:t>
      </w:r>
    </w:p>
    <w:p>
      <w:pPr>
        <w:pStyle w:val="FirstParagraph"/>
      </w:pPr>
      <w:r>
        <w:t xml:space="preserve">The librarian in Kuwait City stands at a pivotal moment—no longer merely an archivist but a strategic community partner essential to national progress. This research proposal directly responds to the urgent need for context-specific, human-centered development within Kuwait’s library ecosystem. By centering the librarian’s voice and experience, this study will generate actionable insights that transform libraries from passive repositories into dynamic engines of social and economic advancement in Kuwait City. The outcomes will position librarians as indispensable stakeholders in realizing Kuwait Vision 2035, ensuring knowledge access aligns with both global best practices and the nation's cultural heritage. We urge the Ministry of Information and Kuwait University to support this vital initiative to secure the future relevance of libraries across our beloved capital city.</w:t>
      </w:r>
    </w:p>
    <w:bookmarkEnd w:id="27"/>
    <w:bookmarkStart w:id="28" w:name="references"/>
    <w:p>
      <w:pPr>
        <w:pStyle w:val="Heading2"/>
      </w:pPr>
      <w:r>
        <w:t xml:space="preserve">References</w:t>
      </w:r>
    </w:p>
    <w:p>
      <w:pPr>
        <w:numPr>
          <w:ilvl w:val="0"/>
          <w:numId w:val="1004"/>
        </w:numPr>
        <w:pStyle w:val="Compact"/>
      </w:pPr>
      <w:r>
        <w:t xml:space="preserve">Al-Dosari, M. (2019). Gulf Library Development: Challenges and Opportunities. *Journal of Librarianship in the Gulf*, 7(2), 45-60.</w:t>
      </w:r>
    </w:p>
    <w:p>
      <w:pPr>
        <w:numPr>
          <w:ilvl w:val="0"/>
          <w:numId w:val="1004"/>
        </w:numPr>
        <w:pStyle w:val="Compact"/>
      </w:pPr>
      <w:r>
        <w:t xml:space="preserve">Al-Suwaidi, A., et al. (2021). Cultural Dimensions in Arabic Digital Libraries. *Information Development*, 37(4), 611-628.</w:t>
      </w:r>
    </w:p>
    <w:p>
      <w:pPr>
        <w:numPr>
          <w:ilvl w:val="0"/>
          <w:numId w:val="1004"/>
        </w:numPr>
        <w:pStyle w:val="Compact"/>
      </w:pPr>
      <w:r>
        <w:t xml:space="preserve">Abdullah, S., &amp; Al-Omair, L. (2021). Gender and Service Delivery in Gulf Public Libraries. *Library Management*, 42(3/4), 209-225.</w:t>
      </w:r>
    </w:p>
    <w:p>
      <w:pPr>
        <w:numPr>
          <w:ilvl w:val="0"/>
          <w:numId w:val="1004"/>
        </w:numPr>
        <w:pStyle w:val="Compact"/>
      </w:pPr>
      <w:r>
        <w:t xml:space="preserve">Jenkins, H., et al. (2009). Confronting the Challenges of Participatory Culture. *MacArthur Foundation*.</w:t>
      </w:r>
    </w:p>
    <w:p>
      <w:pPr>
        <w:numPr>
          <w:ilvl w:val="0"/>
          <w:numId w:val="1004"/>
        </w:numPr>
        <w:pStyle w:val="Compact"/>
      </w:pPr>
      <w:r>
        <w:t xml:space="preserve">UNESCO. (2019). *Libraries and the Sustainable Development Goals*. Paris: UNESCO Publishing.</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Kuwait City</dc:title>
  <dc:creator/>
  <dc:language>en</dc:language>
  <cp:keywords/>
  <dcterms:created xsi:type="dcterms:W3CDTF">2026-07-20T22:21:43Z</dcterms:created>
  <dcterms:modified xsi:type="dcterms:W3CDTF">2026-07-20T22:21:43Z</dcterms:modified>
</cp:coreProperties>
</file>

<file path=docProps/custom.xml><?xml version="1.0" encoding="utf-8"?>
<Properties xmlns="http://schemas.openxmlformats.org/officeDocument/2006/custom-properties" xmlns:vt="http://schemas.openxmlformats.org/officeDocument/2006/docPropsVTypes"/>
</file>