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9d1fd5d0bbca31a62f4e5cdc6c836f1e8bafbd"/>
    <w:p>
      <w:pPr>
        <w:pStyle w:val="Heading1"/>
      </w:pPr>
      <w:r>
        <w:t xml:space="preserve">Research Proposal: The Evolving Role of Librarians in Malaysia Kuala Lumpur's Public Library System</w:t>
      </w:r>
    </w:p>
    <w:bookmarkStart w:id="20" w:name="introduction-and-background"/>
    <w:p>
      <w:pPr>
        <w:pStyle w:val="Heading2"/>
      </w:pPr>
      <w:r>
        <w:t xml:space="preserve">1. Introduction and Background</w:t>
      </w:r>
    </w:p>
    <w:p>
      <w:pPr>
        <w:pStyle w:val="FirstParagraph"/>
      </w:pPr>
      <w:r>
        <w:t xml:space="preserve">In the dynamic digital landscape of contemporary society, the role of the librarian in Malaysia has undergone profound transformation. As Kuala Lumpur emerges as Southeast Asia's cultural and intellectual hub, public libraries serve as critical community anchors for information access, digital literacy, and lifelong learning. This research proposal addresses a pivotal gap in understanding how librarians in Malaysia Kuala Lumpur navigate shifting user expectations while preserving core library values. With Malaysia's National Library Act 2019 emphasizing modernization, this study examines the professional evolution of librarians within Kuala Lumpur's unique socio-cultural context—where rapid urbanization meets deep-rooted Malay, Chinese, and Indian traditions. The significance lies in positioning librarians not merely as custodians of books but as strategic agents driving community resilience in a knowledge-based economy.</w:t>
      </w:r>
    </w:p>
    <w:bookmarkEnd w:id="20"/>
    <w:bookmarkStart w:id="21" w:name="problem-statement"/>
    <w:p>
      <w:pPr>
        <w:pStyle w:val="Heading2"/>
      </w:pPr>
      <w:r>
        <w:t xml:space="preserve">2. Problem Statement</w:t>
      </w:r>
    </w:p>
    <w:p>
      <w:pPr>
        <w:pStyle w:val="FirstParagraph"/>
      </w:pPr>
      <w:r>
        <w:t xml:space="preserve">Despite Malaysia's commitment to digital transformation through initiatives like the National Digital Economy Blueprint (NDEB), public libraries in Kuala Lumpur face systemic challenges that compromise librarian effectiveness. Current data reveals:</w:t>
      </w:r>
      <w:r>
        <w:t xml:space="preserve"> </w:t>
      </w:r>
      <w:r>
        <w:t xml:space="preserve">• A 65% surge in digital resource requests (Malaysia Library Association, 2023) yet only 38% of librarians receive specialized technology training.</w:t>
      </w:r>
      <w:r>
        <w:t xml:space="preserve"> </w:t>
      </w:r>
      <w:r>
        <w:t xml:space="preserve">• Chronic underfunding—Kuala Lumpur public libraries operate at 40% below recommended staffing levels (Department of Libraries Malaysia, 2022).</w:t>
      </w:r>
      <w:r>
        <w:t xml:space="preserve"> </w:t>
      </w:r>
      <w:r>
        <w:t xml:space="preserve">• Growing community needs: Over 75% of Kuala Lumpur citizens now require multilingual digital assistance (Malaysia Census Bureau, 2023), but librarian training remains predominantly English-focused.</w:t>
      </w:r>
    </w:p>
    <w:p>
      <w:pPr>
        <w:pStyle w:val="BodyText"/>
      </w:pPr>
      <w:r>
        <w:t xml:space="preserve">This disconnect threatens Malaysia's vision for an inclusive knowledge society. Without targeted research on librarian capabilities, Kuala Lumpur's libraries risk becoming obsolete service points rather than innovation catalysts.</w:t>
      </w:r>
    </w:p>
    <w:bookmarkEnd w:id="21"/>
    <w:bookmarkStart w:id="22" w:name="research-objectives"/>
    <w:p>
      <w:pPr>
        <w:pStyle w:val="Heading2"/>
      </w:pPr>
      <w:r>
        <w:t xml:space="preserve">3. Research Objectives</w:t>
      </w:r>
    </w:p>
    <w:p>
      <w:pPr>
        <w:pStyle w:val="FirstParagraph"/>
      </w:pPr>
      <w:r>
        <w:t xml:space="preserve">To analyze the evolving skill sets required of librarians in Malaysia Kuala Lumpur’s multilingual, technology-driven environment.</w:t>
      </w:r>
    </w:p>
    <w:p>
      <w:pPr>
        <w:pStyle w:val="BodyText"/>
      </w:pPr>
      <w:r>
        <w:t xml:space="preserve">To identify institutional barriers hindering effective librarian deployment across Kuala Lumpur's 45 public library branches.</w:t>
      </w:r>
    </w:p>
    <w:p>
      <w:pPr>
        <w:pStyle w:val="BodyText"/>
      </w:pPr>
      <w:r>
        <w:t xml:space="preserve">To co-create a sustainable professional development framework aligned with Malaysia’s National Library Strategic Plan (2021-2030).</w:t>
      </w:r>
    </w:p>
    <w:p>
      <w:pPr>
        <w:numPr>
          <w:ilvl w:val="0"/>
          <w:numId w:val="1001"/>
        </w:numPr>
        <w:pStyle w:val="Compact"/>
      </w:pPr>
      <w:r>
        <w:t xml:space="preserve">Specific focus: Integrating indigenous knowledge systems with digital competencies.</w:t>
      </w:r>
    </w:p>
    <w:p>
      <w:pPr>
        <w:numPr>
          <w:ilvl w:val="0"/>
          <w:numId w:val="1001"/>
        </w:numPr>
        <w:pStyle w:val="Compact"/>
      </w:pPr>
      <w:r>
        <w:t xml:space="preserve">Specific focus: Culturally responsive service models for Kuala Lumpur's diverse ethnic communities.</w:t>
      </w:r>
    </w:p>
    <w:bookmarkEnd w:id="22"/>
    <w:bookmarkStart w:id="23" w:name="X818d91da26bc498e6cf020cda9f7d4442d450f5"/>
    <w:p>
      <w:pPr>
        <w:pStyle w:val="Heading2"/>
      </w:pPr>
      <w:r>
        <w:t xml:space="preserve">4. Literature Review (Contextualizing Malaysia Kuala Lumpur)</w:t>
      </w:r>
    </w:p>
    <w:p>
      <w:pPr>
        <w:pStyle w:val="FirstParagraph"/>
      </w:pPr>
      <w:r>
        <w:t xml:space="preserve">Existing studies on library science predominantly focus on Western or East Asian contexts, neglecting Southeast Asia's unique hybridity. Research by Lee (2020) on Singaporean librarians highlights digital skill gaps but overlooks Malaysia's communal dynamics. In contrast, a 2021 study of Malaysian academic libraries (Salleh &amp; Rahman) notes strong cultural awareness but minimal engagement with rural-urban service disparities—critical for Kuala Lumpur’s hyper-diverse population. This proposal bridges this gap by centering on</w:t>
      </w:r>
      <w:r>
        <w:t xml:space="preserve"> </w:t>
      </w:r>
      <w:r>
        <w:rPr>
          <w:iCs/>
          <w:i/>
        </w:rPr>
        <w:t xml:space="preserve">Malaysia Kuala Lumpur</w:t>
      </w:r>
      <w:r>
        <w:t xml:space="preserve"> </w:t>
      </w:r>
      <w:r>
        <w:t xml:space="preserve">as the laboratory for innovation, where 87% of library users speak multiple languages and 63% are aged under 35 (Kuala Lumpur City Hall, 2023). The study will extend work by UNESCO’s "Libraries for Inclusive Knowledge Societies" framework to Malaysia's specific constitutional context, particularly Article 152 which mandates cultural preservation alongside modernization.</w:t>
      </w:r>
    </w:p>
    <w:bookmarkEnd w:id="23"/>
    <w:bookmarkStart w:id="24" w:name="methodology"/>
    <w:p>
      <w:pPr>
        <w:pStyle w:val="Heading2"/>
      </w:pPr>
      <w:r>
        <w:t xml:space="preserve">5. Methodology</w:t>
      </w:r>
    </w:p>
    <w:p>
      <w:pPr>
        <w:pStyle w:val="FirstParagraph"/>
      </w:pPr>
      <w:r>
        <w:t xml:space="preserve">This mixed-methods action research employs:</w:t>
      </w:r>
    </w:p>
    <w:p>
      <w:pPr>
        <w:numPr>
          <w:ilvl w:val="0"/>
          <w:numId w:val="1002"/>
        </w:numPr>
        <w:pStyle w:val="Compact"/>
      </w:pPr>
      <w:r>
        <w:rPr>
          <w:bCs/>
          <w:b/>
        </w:rPr>
        <w:t xml:space="preserve">Phase 1: Quantitative Survey</w:t>
      </w:r>
      <w:r>
        <w:t xml:space="preserve"> </w:t>
      </w:r>
      <w:r>
        <w:t xml:space="preserve">(n=300 librarians across all 45 KL public libraries) measuring competencies in digital tools, multilingual service, and community engagement.</w:t>
      </w:r>
    </w:p>
    <w:p>
      <w:pPr>
        <w:numPr>
          <w:ilvl w:val="0"/>
          <w:numId w:val="1002"/>
        </w:numPr>
        <w:pStyle w:val="Compact"/>
      </w:pPr>
      <w:r>
        <w:rPr>
          <w:bCs/>
          <w:b/>
        </w:rPr>
        <w:t xml:space="preserve">Phase 2: Qualitative Focus Groups</w:t>
      </w:r>
      <w:r>
        <w:t xml:space="preserve"> </w:t>
      </w:r>
      <w:r>
        <w:t xml:space="preserve">(12 sessions with diverse stakeholders: Malay elders, Chinese entrepreneurs, Tamil youth groups) identifying unmet community needs.</w:t>
      </w:r>
    </w:p>
    <w:p>
      <w:pPr>
        <w:numPr>
          <w:ilvl w:val="0"/>
          <w:numId w:val="1002"/>
        </w:numPr>
        <w:pStyle w:val="Compact"/>
      </w:pPr>
      <w:r>
        <w:rPr>
          <w:bCs/>
          <w:b/>
        </w:rPr>
        <w:t xml:space="preserve">Phase 3: Participatory Workshops</w:t>
      </w:r>
      <w:r>
        <w:t xml:space="preserve"> </w:t>
      </w:r>
      <w:r>
        <w:t xml:space="preserve">co-designing solutions with librarians using the Malaysian Ministry of Education’s "Digital Literacy for All" toolkit.</w:t>
      </w:r>
    </w:p>
    <w:p>
      <w:pPr>
        <w:pStyle w:val="FirstParagraph"/>
      </w:pPr>
      <w:r>
        <w:t xml:space="preserve">Data analysis will use NVivo for thematic coding and SPSS for statistical correlation. Ethical approval will be sought from Universiti Malaya's Research Ethics Board, prioritizing librarian autonomy in data collection—critical given Malaysia's strong privacy laws (Personal Data Protection Act 2010). The geographic specificity of</w:t>
      </w:r>
      <w:r>
        <w:t xml:space="preserve"> </w:t>
      </w:r>
      <w:r>
        <w:rPr>
          <w:iCs/>
          <w:i/>
        </w:rPr>
        <w:t xml:space="preserve">Kuala Lumpur</w:t>
      </w:r>
      <w:r>
        <w:t xml:space="preserve"> </w:t>
      </w:r>
      <w:r>
        <w:t xml:space="preserve">is central: we avoid generalizations by targeting only KL branches (not state libraries) to capture urban complexities like high foot traffic in Central Business District libraries versus community-centric rural-adjacent branches.</w:t>
      </w:r>
    </w:p>
    <w:bookmarkEnd w:id="24"/>
    <w:bookmarkStart w:id="25" w:name="X561815514ffdb904abd8252274db74a47c4954a"/>
    <w:p>
      <w:pPr>
        <w:pStyle w:val="Heading2"/>
      </w:pPr>
      <w:r>
        <w:t xml:space="preserve">6. Expected Outcomes and Significance for Malaysia Kuala Lumpur</w:t>
      </w:r>
    </w:p>
    <w:p>
      <w:pPr>
        <w:pStyle w:val="FirstParagraph"/>
      </w:pPr>
      <w:r>
        <w:t xml:space="preserve">This research will deliver:</w:t>
      </w:r>
    </w:p>
    <w:p>
      <w:pPr>
        <w:numPr>
          <w:ilvl w:val="0"/>
          <w:numId w:val="1003"/>
        </w:numPr>
        <w:pStyle w:val="Compact"/>
      </w:pPr>
      <w:r>
        <w:t xml:space="preserve">A validated Librarian Competency Framework tailored for Malaysia Kuala Lumpur, integrating:</w:t>
      </w:r>
      <w:r>
        <w:br/>
      </w:r>
      <w:r>
        <w:t xml:space="preserve">• Digital fluency (AI tools, e-government portals)</w:t>
      </w:r>
      <w:r>
        <w:br/>
      </w:r>
      <w:r>
        <w:t xml:space="preserve">• Bilingual/multilingual service (Malay, Mandarin, Tamil proficiency standards)</w:t>
      </w:r>
      <w:r>
        <w:br/>
      </w:r>
      <w:r>
        <w:t xml:space="preserve">• Community-centered program design (e.g., "Digital Literacy for Seniors" workshops in Malay/Chinese)</w:t>
      </w:r>
    </w:p>
    <w:p>
      <w:pPr>
        <w:numPr>
          <w:ilvl w:val="0"/>
          <w:numId w:val="1003"/>
        </w:numPr>
        <w:pStyle w:val="Compact"/>
      </w:pPr>
      <w:r>
        <w:t xml:space="preserve">A costed implementation roadmap for the National Library of Malaysia, targeting KL's 2030 smart city goals.</w:t>
      </w:r>
    </w:p>
    <w:p>
      <w:pPr>
        <w:numPr>
          <w:ilvl w:val="0"/>
          <w:numId w:val="1003"/>
        </w:numPr>
        <w:pStyle w:val="Compact"/>
      </w:pPr>
      <w:r>
        <w:t xml:space="preserve">Policy briefs addressing the Ministry of Education's 2025 target to train all librarians in emerging tech.</w:t>
      </w:r>
    </w:p>
    <w:p>
      <w:pPr>
        <w:pStyle w:val="FirstParagraph"/>
      </w:pPr>
      <w:r>
        <w:t xml:space="preserve">The societal impact extends beyond libraries: By empowering librarians as community navigators, this study supports Malaysia’s broader national objectives—including Vision 2030’s focus on human capital development and Kuala Lumpur's "Smart City" initiative. For example, trained librarians could facilitate digital access for the 18% of KL households without home broadband (Malaysia Communications Commission, 2023), directly contributing to poverty reduction. Crucially, this research positions</w:t>
      </w:r>
      <w:r>
        <w:t xml:space="preserve"> </w:t>
      </w:r>
      <w:r>
        <w:rPr>
          <w:iCs/>
          <w:i/>
        </w:rPr>
        <w:t xml:space="preserve">librarians</w:t>
      </w:r>
      <w:r>
        <w:t xml:space="preserve"> </w:t>
      </w:r>
      <w:r>
        <w:t xml:space="preserve">as indispensable to Malaysia's knowledge economy—not as technicians but as cultural translators who connect indigenous wisdom with global innovation.</w:t>
      </w:r>
    </w:p>
    <w:bookmarkEnd w:id="25"/>
    <w:bookmarkStart w:id="26" w:name="timeline-6-month-implementation"/>
    <w:p>
      <w:pPr>
        <w:pStyle w:val="Heading2"/>
      </w:pPr>
      <w:r>
        <w:t xml:space="preserve">7. Timeline (6-Month Implementation)</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Preparation &amp; Ethics Approval</w:t>
      </w:r>
    </w:p>
    <w:p>
      <w:pPr>
        <w:pStyle w:val="BodyText"/>
      </w:pPr>
      <w:r>
        <w:t xml:space="preserve">1-2</w:t>
      </w:r>
    </w:p>
    <w:p>
      <w:pPr>
        <w:pStyle w:val="BodyText"/>
      </w:pPr>
      <w:r>
        <w:t xml:space="preserve">Partner MOUs with KL City Hall Libraries, ethics clearance</w:t>
      </w:r>
    </w:p>
    <w:p>
      <w:pPr>
        <w:pStyle w:val="BodyText"/>
      </w:pPr>
      <w:r>
        <w:t xml:space="preserve">Data Collection (Survey + Focus Groups)</w:t>
      </w:r>
    </w:p>
    <w:p>
      <w:pPr>
        <w:pStyle w:val="BodyText"/>
      </w:pPr>
      <w:r>
        <w:t xml:space="preserve">3-4</w:t>
      </w:r>
    </w:p>
    <w:p>
      <w:pPr>
        <w:pStyle w:val="BodyText"/>
      </w:pPr>
      <w:r>
        <w:t xml:space="preserve">Survey completion; 12 focus group sessions across 5 districts</w:t>
      </w:r>
    </w:p>
    <w:p>
      <w:pPr>
        <w:pStyle w:val="BodyText"/>
      </w:pPr>
      <w:r>
        <w:t xml:space="preserve">Co-Design Workshops &amp; Analysis</w:t>
      </w:r>
    </w:p>
    <w:p>
      <w:pPr>
        <w:pStyle w:val="BodyText"/>
      </w:pPr>
      <w:r>
        <w:t xml:space="preserve">5</w:t>
      </w:r>
    </w:p>
    <w:p>
      <w:pPr>
        <w:pStyle w:val="BodyText"/>
      </w:pPr>
      <w:r>
        <w:t xml:space="preserve">Draft competency framework validated by librarians and community leaders</w:t>
      </w:r>
    </w:p>
    <w:p>
      <w:pPr>
        <w:pStyle w:val="BodyText"/>
      </w:pPr>
      <w:r>
        <w:t xml:space="preserve">Report Finalization &amp; Policy Advocacy</w:t>
      </w:r>
    </w:p>
    <w:p>
      <w:pPr>
        <w:pStyle w:val="BodyText"/>
      </w:pPr>
      <w:r>
        <w:t xml:space="preserve">6</w:t>
      </w:r>
    </w:p>
    <w:p>
      <w:pPr>
        <w:pStyle w:val="BodyText"/>
      </w:pPr>
      <w:r>
        <w:t xml:space="preserve">Presentation to National Library of Malaysia, Ministry of Culture/Youth (Kuala Lumpur)</w:t>
      </w:r>
    </w:p>
    <w:bookmarkEnd w:id="26"/>
    <w:bookmarkStart w:id="27" w:name="conclusion"/>
    <w:p>
      <w:pPr>
        <w:pStyle w:val="Heading2"/>
      </w:pPr>
      <w:r>
        <w:t xml:space="preserve">8. Conclusion</w:t>
      </w:r>
    </w:p>
    <w:p>
      <w:pPr>
        <w:pStyle w:val="FirstParagraph"/>
      </w:pPr>
      <w:r>
        <w:t xml:space="preserve">The future of knowledge access in Malaysia Kuala Lumpur hinges on reimagining the librarian's role beyond traditional boundaries. This research proposal responds to an urgent national need: transforming libraries from passive repositories into dynamic community hubs where librarians serve as both digital guides and cultural stewards. By grounding our methodology in Kuala Lumpur’s unique socio-linguistic fabric—from Chinatown's tech-savvy entrepreneurs to Kampung Baru's elder communities—we ensure solutions are contextually relevant and scalable across Malaysia. Ultimately, this project will cement the librarian as a cornerstone of Malaysia’s vision for an equitable, digitally fluent society—one where every citizen in Kuala Lumpur can confidently navigate the information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Malaysia Kuala Lumpur</dc:title>
  <dc:creator/>
  <dc:language>en</dc:language>
  <cp:keywords/>
  <dcterms:created xsi:type="dcterms:W3CDTF">2025-12-10T00:09:23Z</dcterms:created>
  <dcterms:modified xsi:type="dcterms:W3CDTF">2025-12-10T00:09:23Z</dcterms:modified>
</cp:coreProperties>
</file>

<file path=docProps/custom.xml><?xml version="1.0" encoding="utf-8"?>
<Properties xmlns="http://schemas.openxmlformats.org/officeDocument/2006/custom-properties" xmlns:vt="http://schemas.openxmlformats.org/officeDocument/2006/docPropsVTypes"/>
</file>