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e8d2a95b6a6bdb18497496748dd856349494c45"/>
    <w:p>
      <w:pPr>
        <w:pStyle w:val="Heading1"/>
      </w:pPr>
      <w:r>
        <w:t xml:space="preserve">Research Proposal: The Evolving Role of Librarian in United Arab Emirates Abu Dhabi</w:t>
      </w:r>
    </w:p>
    <w:bookmarkStart w:id="20" w:name="introduction"/>
    <w:p>
      <w:pPr>
        <w:pStyle w:val="Heading2"/>
      </w:pPr>
      <w:r>
        <w:t xml:space="preserve">Introduction</w:t>
      </w:r>
    </w:p>
    <w:p>
      <w:pPr>
        <w:pStyle w:val="FirstParagraph"/>
      </w:pPr>
      <w:r>
        <w:t xml:space="preserve">The landscape of information management and knowledge dissemination is undergoing transformative change globally, with the United Arab Emirates (UAE) positioned at the forefront of this evolution. Within this dynamic context, the role of the Librarian in Abu Dhabi—our nation's cultural and intellectual heart—has transcended traditional boundaries. This</w:t>
      </w:r>
      <w:r>
        <w:t xml:space="preserve"> </w:t>
      </w:r>
      <w:r>
        <w:rPr>
          <w:bCs/>
          <w:b/>
        </w:rPr>
        <w:t xml:space="preserve">Research Proposal</w:t>
      </w:r>
      <w:r>
        <w:t xml:space="preserve"> </w:t>
      </w:r>
      <w:r>
        <w:t xml:space="preserve">critically examines how contemporary</w:t>
      </w:r>
      <w:r>
        <w:t xml:space="preserve"> </w:t>
      </w:r>
      <w:r>
        <w:rPr>
          <w:bCs/>
          <w:b/>
        </w:rPr>
        <w:t xml:space="preserve">Librarian</w:t>
      </w:r>
      <w:r>
        <w:t xml:space="preserve"> </w:t>
      </w:r>
      <w:r>
        <w:t xml:space="preserve">professionals are adapting to technological advancements, shifting educational paradigms, and UAE Vision 2030's emphasis on knowledge-based economic diversification. Abu Dhabi, as the capital emirate of the United Arab Emirates, hosts institutions like the Khalifa University Library, Abu Dhabi Libraries Network (ADLN), and numerous academic libraries serving a multicultural population. This research addresses an urgent need to redefine the Librarian's contribution to national development goals while preserving cultural heritage in digital ecosystems.</w:t>
      </w:r>
    </w:p>
    <w:bookmarkEnd w:id="20"/>
    <w:bookmarkStart w:id="21" w:name="problem-statement"/>
    <w:p>
      <w:pPr>
        <w:pStyle w:val="Heading2"/>
      </w:pPr>
      <w:r>
        <w:t xml:space="preserve">Problem Statement</w:t>
      </w:r>
    </w:p>
    <w:p>
      <w:pPr>
        <w:pStyle w:val="FirstParagraph"/>
      </w:pPr>
      <w:r>
        <w:t xml:space="preserve">Despite the UAE's investment in world-class educational infrastructure, a significant gap exists between the current capabilities of Librarians and the evolving demands of Abu Dhabi's knowledge economy. Traditional Librarian roles focused on cataloging and physical collections are increasingly insufficient for managing AI-driven digital repositories, multilingual information access for expatriate communities, and aligning library services with UAE National Strategic Goals. A recent survey by the Abu Dhabi Department of Culture and Tourism (ADCT) revealed that 68% of library staff require upskilling in data analytics and digital curation—yet no tailored training frameworks exist within the United Arab Emirates Abu Dhabi context. This research identifies a critical disconnect: as Abu Dhabi accelerates its transition toward a knowledge-based economy, Librarians remain underutilized as strategic partners in national innovation initiatives.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sets of Librarians across Abu Dhabi's public, academic, and corporate libraries through quantitative surveys and qualitative interviews.</w:t>
      </w:r>
    </w:p>
    <w:p>
      <w:pPr>
        <w:numPr>
          <w:ilvl w:val="0"/>
          <w:numId w:val="1001"/>
        </w:numPr>
        <w:pStyle w:val="Compact"/>
      </w:pPr>
      <w:r>
        <w:t xml:space="preserve">To evaluate how UAE Vision 2030 priorities (e.g., education excellence, digital transformation) are reflected in existing Librarian job descriptions and professional development programs.</w:t>
      </w:r>
    </w:p>
    <w:p>
      <w:pPr>
        <w:numPr>
          <w:ilvl w:val="0"/>
          <w:numId w:val="1001"/>
        </w:numPr>
        <w:pStyle w:val="Compact"/>
      </w:pPr>
      <w:r>
        <w:t xml:space="preserve">To co-design a competency framework for the "Future-Ready Librarian" specifically aligned with Abu Dhabi's cultural and economic objectives.</w:t>
      </w:r>
    </w:p>
    <w:p>
      <w:pPr>
        <w:numPr>
          <w:ilvl w:val="0"/>
          <w:numId w:val="1001"/>
        </w:numPr>
        <w:pStyle w:val="Compact"/>
      </w:pPr>
      <w:r>
        <w:t xml:space="preserve">To propose policy recommendations for integrating Librarians into Abu Dhabi's National Innovation Strategy as catalysts for digital literacy and cultural preservation.</w:t>
      </w:r>
    </w:p>
    <w:bookmarkEnd w:id="22"/>
    <w:bookmarkStart w:id="23" w:name="literature-review"/>
    <w:p>
      <w:pPr>
        <w:pStyle w:val="Heading2"/>
      </w:pPr>
      <w:r>
        <w:t xml:space="preserve">Literature Review</w:t>
      </w:r>
    </w:p>
    <w:p>
      <w:pPr>
        <w:pStyle w:val="FirstParagraph"/>
      </w:pPr>
      <w:r>
        <w:t xml:space="preserve">Existing scholarship on librarianship in the Gulf region remains sparse. Studies by Al-Khalifa (2021) on Saudi Arabia's libraries highlight similar gaps in digital competencies, while UAE-specific research (Al Marzouqi, 2019) focuses narrowly on infrastructure rather than professional development. The United Arab Emirates Abu Dhabi context presents unique challenges: a transient population requiring multilingual services (Arabic, English, South Asian languages), stringent national data governance laws under the UAE Personal Data Protection Law (PDPL), and the need to balance Western library models with Islamic cultural values. This research bridges these gaps by centering Abu Dhabi's socio-technical ecosystem—where libraries serve as community hubs for both Emirati heritage preservation and global knowledge exchange.</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Online survey targeting 300 Librarians across Abu Dhabi's 50+ public and academic libraries (response rate target: 75%), assessing competencies in digital curation, cultural intelligence, and strategic alignment with UAE Vision 2030.</w:t>
      </w:r>
    </w:p>
    <w:p>
      <w:pPr>
        <w:numPr>
          <w:ilvl w:val="0"/>
          <w:numId w:val="1002"/>
        </w:numPr>
        <w:pStyle w:val="Compact"/>
      </w:pPr>
      <w:r>
        <w:rPr>
          <w:bCs/>
          <w:b/>
        </w:rPr>
        <w:t xml:space="preserve">Phase 2 (Qualitative):</w:t>
      </w:r>
      <w:r>
        <w:t xml:space="preserve"> </w:t>
      </w:r>
      <w:r>
        <w:t xml:space="preserve">In-depth interviews with 30 key stakeholders—including ADCT officials, university library directors (e.g., Khalifa University), and Librarians from the Abu Dhabi Public Library—exploring barriers to innovation and success stories.</w:t>
      </w:r>
    </w:p>
    <w:p>
      <w:pPr>
        <w:numPr>
          <w:ilvl w:val="0"/>
          <w:numId w:val="1002"/>
        </w:numPr>
        <w:pStyle w:val="Compact"/>
      </w:pPr>
      <w:r>
        <w:rPr>
          <w:bCs/>
          <w:b/>
        </w:rPr>
        <w:t xml:space="preserve">Phase 3 (Co-Design Workshop):</w:t>
      </w:r>
      <w:r>
        <w:t xml:space="preserve"> </w:t>
      </w:r>
      <w:r>
        <w:t xml:space="preserve">Facilitated sessions with 25 Librarians and policymakers to develop a competency framework, using UAE National Qualifications Framework (UNQF) standards as anchor points.</w:t>
      </w:r>
    </w:p>
    <w:p>
      <w:pPr>
        <w:pStyle w:val="FirstParagraph"/>
      </w:pPr>
      <w:r>
        <w:t xml:space="preserve">Data analysis will use NVivo for thematic coding of qualitative responses and SPSS for statistical correlation between skills gaps and institutional performance metrics. Ethical approval will be sought from the Abu Dhabi University Ethics Board, with all participant data anonymized per UAE privacy regulations.</w:t>
      </w:r>
    </w:p>
    <w:bookmarkEnd w:id="24"/>
    <w:bookmarkStart w:id="25" w:name="expected-outcomes-significance"/>
    <w:p>
      <w:pPr>
        <w:pStyle w:val="Heading2"/>
      </w:pPr>
      <w:r>
        <w:t xml:space="preserve">Expected Outcomes &amp; Significance</w:t>
      </w:r>
    </w:p>
    <w:p>
      <w:pPr>
        <w:pStyle w:val="FirstParagraph"/>
      </w:pPr>
      <w:r>
        <w:t xml:space="preserve">This research will deliver:</w:t>
      </w:r>
    </w:p>
    <w:p>
      <w:pPr>
        <w:numPr>
          <w:ilvl w:val="0"/>
          <w:numId w:val="1003"/>
        </w:numPr>
        <w:pStyle w:val="Compact"/>
      </w:pPr>
      <w:r>
        <w:t xml:space="preserve">A validated competency matrix for Librarians in United Arab Emirates Abu Dhabi, featuring domains like AI-assisted metadata creation, cultural heritage digitization (e.g., preserving Emirati manuscripts), and cross-cultural digital literacy training.</w:t>
      </w:r>
    </w:p>
    <w:p>
      <w:pPr>
        <w:numPr>
          <w:ilvl w:val="0"/>
          <w:numId w:val="1003"/>
        </w:numPr>
        <w:pStyle w:val="Compact"/>
      </w:pPr>
      <w:r>
        <w:t xml:space="preserve">A strategic roadmap for the Abu Dhabi Department of Education and Knowledge (ADEK) to integrate Librarians into school curricula as "information literacy champions."</w:t>
      </w:r>
    </w:p>
    <w:p>
      <w:pPr>
        <w:numPr>
          <w:ilvl w:val="0"/>
          <w:numId w:val="1003"/>
        </w:numPr>
        <w:pStyle w:val="Compact"/>
      </w:pPr>
      <w:r>
        <w:t xml:space="preserve">Policy briefs for UAE Ministry of Culture on redefining Librarian roles within national initiatives like "Abu Dhabi Vision 2030" and the National Strategy for Artificial Intelligence.</w:t>
      </w:r>
    </w:p>
    <w:p>
      <w:pPr>
        <w:pStyle w:val="FirstParagraph"/>
      </w:pPr>
      <w:r>
        <w:t xml:space="preserve">The significance extends beyond academia: A future-ready Librarian in Abu Dhabi is pivotal to achieving the UAE's goal of becoming a top 10 global innovation hub (Global Innovation Index, 2023). By positioning Librarians as active agents of knowledge governance—rather than passive custodians—we enable Abu Dhabi to leverage its libraries as engines for social cohesion, economic diversification, and cultural identity preservation in an increasingly interconnected world.</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Survey/Interview Protocols; Ethics Approval</w:t>
            </w:r>
          </w:p>
        </w:tc>
      </w:tr>
      <w:tr>
        <w:tc>
          <w:tcPr/>
          <w:p>
            <w:pPr>
              <w:pStyle w:val="Compact"/>
              <w:jc w:val="left"/>
            </w:pPr>
            <w:r>
              <w:t xml:space="preserve">Data Collection (Surveys &amp; Interviews)</w:t>
            </w:r>
          </w:p>
        </w:tc>
        <w:tc>
          <w:tcPr/>
          <w:p>
            <w:pPr>
              <w:pStyle w:val="Compact"/>
              <w:jc w:val="left"/>
            </w:pPr>
            <w:r>
              <w:t xml:space="preserve">Months 3-5</w:t>
            </w:r>
          </w:p>
        </w:tc>
        <w:tc>
          <w:tcPr/>
          <w:p>
            <w:pPr>
              <w:pStyle w:val="Compact"/>
              <w:jc w:val="left"/>
            </w:pPr>
            <w:r>
              <w:t xml:space="preserve">Quantitative Dataset; Thematic Interview Codes</w:t>
            </w:r>
          </w:p>
        </w:tc>
      </w:tr>
      <w:tr>
        <w:tc>
          <w:tcPr/>
          <w:p>
            <w:pPr>
              <w:pStyle w:val="Compact"/>
              <w:jc w:val="left"/>
            </w:pPr>
            <w:r>
              <w:t xml:space="preserve">Data Analysis &amp; Co-Design Workshop</w:t>
            </w:r>
          </w:p>
        </w:tc>
        <w:tc>
          <w:tcPr/>
          <w:p>
            <w:pPr>
              <w:pStyle w:val="Compact"/>
              <w:jc w:val="left"/>
            </w:pPr>
            <w:r>
              <w:t xml:space="preserve">Months 6-8</w:t>
            </w:r>
          </w:p>
        </w:tc>
        <w:tc>
          <w:tcPr/>
          <w:p>
            <w:pPr>
              <w:pStyle w:val="Compact"/>
              <w:jc w:val="left"/>
            </w:pPr>
            <w:r>
              <w:t xml:space="preserve">Competency Framework Draft; Policy Recommendations</w:t>
            </w:r>
          </w:p>
        </w:tc>
      </w:tr>
      <w:tr>
        <w:tc>
          <w:tcPr/>
          <w:p>
            <w:pPr>
              <w:pStyle w:val="Compact"/>
              <w:jc w:val="left"/>
            </w:pPr>
            <w:r>
              <w:t xml:space="preserve">Final Report &amp; Dissemination</w:t>
            </w:r>
          </w:p>
        </w:tc>
        <w:tc>
          <w:tcPr/>
          <w:p>
            <w:pPr>
              <w:pStyle w:val="Compact"/>
              <w:jc w:val="left"/>
            </w:pPr>
            <w:r>
              <w:t xml:space="preserve">Months 9-10</w:t>
            </w:r>
          </w:p>
        </w:tc>
        <w:tc>
          <w:tcPr/>
          <w:p>
            <w:pPr>
              <w:pStyle w:val="Compact"/>
              <w:jc w:val="left"/>
            </w:pPr>
            <w:r>
              <w:t xml:space="preserve">Publisher-ready Manuscript; Stakeholder Workshop in Abu Dhabi</w:t>
            </w:r>
          </w:p>
        </w:tc>
      </w:tr>
    </w:tbl>
    <w:bookmarkEnd w:id="26"/>
    <w:bookmarkStart w:id="27" w:name="conclusion"/>
    <w:p>
      <w:pPr>
        <w:pStyle w:val="Heading2"/>
      </w:pPr>
      <w:r>
        <w:t xml:space="preserve">Conclusion</w:t>
      </w:r>
    </w:p>
    <w:p>
      <w:pPr>
        <w:pStyle w:val="FirstParagraph"/>
      </w:pPr>
      <w:r>
        <w:t xml:space="preserve">The evolving Librarian in United Arab Emirates Abu Dhabi is no longer confined to bookshelves but has become a cornerstone of intellectual infrastructure. This research directly responds to the UAE's strategic imperative to harness knowledge as its most valuable resource. By rigorously examining the intersection of professional identity, technological change, and national vision within Abu Dhabi's unique sociocultural landscape, this</w:t>
      </w:r>
      <w:r>
        <w:t xml:space="preserve"> </w:t>
      </w:r>
      <w:r>
        <w:rPr>
          <w:bCs/>
          <w:b/>
        </w:rPr>
        <w:t xml:space="preserve">Research Proposal</w:t>
      </w:r>
      <w:r>
        <w:t xml:space="preserve"> </w:t>
      </w:r>
      <w:r>
        <w:t xml:space="preserve">will establish a benchmark for Librarian excellence in the Middle East. The outcomes will empower librarians across Abu Dhabi to transition from traditional service providers to strategic knowledge architects—ensuring that libraries remain vibrant, relevant institutions at the heart of a thriving knowledge economy.</w:t>
      </w:r>
    </w:p>
    <w:bookmarkEnd w:id="27"/>
    <w:bookmarkStart w:id="28" w:name="references-illustrative"/>
    <w:p>
      <w:pPr>
        <w:pStyle w:val="Heading2"/>
      </w:pPr>
      <w:r>
        <w:t xml:space="preserve">References (Illustrative)</w:t>
      </w:r>
    </w:p>
    <w:p>
      <w:pPr>
        <w:numPr>
          <w:ilvl w:val="0"/>
          <w:numId w:val="1004"/>
        </w:numPr>
        <w:pStyle w:val="Compact"/>
      </w:pPr>
      <w:r>
        <w:t xml:space="preserve">Al-Khalifa, H. (2021). Digital Transformation in Gulf Libraries: A Comparative Analysis. *Journal of Library Innovation*, 12(3), 45-67.</w:t>
      </w:r>
    </w:p>
    <w:p>
      <w:pPr>
        <w:numPr>
          <w:ilvl w:val="0"/>
          <w:numId w:val="1004"/>
        </w:numPr>
        <w:pStyle w:val="Compact"/>
      </w:pPr>
      <w:r>
        <w:t xml:space="preserve">Abu Dhabi Department of Culture and Tourism (ADCT). (2023). *Library Services Survey Report*. Abu Dhabi: Government Publishing.</w:t>
      </w:r>
    </w:p>
    <w:p>
      <w:pPr>
        <w:numPr>
          <w:ilvl w:val="0"/>
          <w:numId w:val="1004"/>
        </w:numPr>
        <w:pStyle w:val="Compact"/>
      </w:pPr>
      <w:r>
        <w:t xml:space="preserve">UAE Ministry of Foreign Affairs. (2021). *UAE Vision 2030: National Development Strategy*. Federal National Council.</w:t>
      </w:r>
    </w:p>
    <w:p>
      <w:pPr>
        <w:numPr>
          <w:ilvl w:val="0"/>
          <w:numId w:val="1004"/>
        </w:numPr>
        <w:pStyle w:val="Compact"/>
      </w:pPr>
      <w:r>
        <w:t xml:space="preserve">Al Marzouqi, R. (2019). Librarianship in UAE Academic Institutions: Challenges and Opportunities. *Gulf Library Journal*, 8(4), 112-130.</w:t>
      </w:r>
    </w:p>
    <w:bookmarkEnd w:id="28"/>
    <w:p>
      <w:pPr>
        <w:pStyle w:val="FirstParagraph"/>
      </w:pPr>
      <w:r>
        <w:rPr>
          <w:bCs/>
          <w:b/>
        </w:rPr>
        <w:t xml:space="preserve">Research Proposal Prepared For:</w:t>
      </w:r>
      <w:r>
        <w:t xml:space="preserve"> </w:t>
      </w:r>
      <w:r>
        <w:t xml:space="preserve">Abu Dhabi Knowledge and Innovation Authority (ADKIA) |</w:t>
      </w:r>
      <w:r>
        <w:t xml:space="preserve"> </w:t>
      </w:r>
      <w:r>
        <w:rPr>
          <w:bCs/>
          <w:b/>
        </w:rPr>
        <w:t xml:space="preserve">Date:</w:t>
      </w:r>
      <w:r>
        <w:t xml:space="preserve"> </w:t>
      </w:r>
      <w:r>
        <w:t xml:space="preserve">October 26,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 in United Arab Emirates Abu Dhabi</dc:title>
  <dc:creator/>
  <dc:language>en</dc:language>
  <cp:keywords/>
  <dcterms:created xsi:type="dcterms:W3CDTF">2026-07-24T08:28:59Z</dcterms:created>
  <dcterms:modified xsi:type="dcterms:W3CDTF">2026-07-24T08:28:59Z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