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b49b642ce9bed2a19fd16fd0c8b18db9a2a1af7"/>
    <w:p>
      <w:pPr>
        <w:pStyle w:val="Heading1"/>
      </w:pPr>
      <w:r>
        <w:t xml:space="preserve">Research Proposal: Innovating Sustainable Marine Engineering Practices for the United Kingdom London Maritime Sector</w:t>
      </w:r>
    </w:p>
    <w:bookmarkStart w:id="20" w:name="introduction"/>
    <w:p>
      <w:pPr>
        <w:pStyle w:val="Heading2"/>
      </w:pPr>
      <w:r>
        <w:t xml:space="preserve">1. Introduction</w:t>
      </w:r>
    </w:p>
    <w:p>
      <w:pPr>
        <w:pStyle w:val="FirstParagraph"/>
      </w:pPr>
      <w:r>
        <w:t xml:space="preserve">The maritime industry remains a cornerstone of the United Kingdom's economic infrastructure, contributing over £34 billion annually to the national economy. Within this context, London serves as the strategic epicenter for marine engineering innovation, housing major shipping corporations, classification societies (e.g., Lloyd's Register), and research institutions like University College London (UCL) and Imperial College London. As a</w:t>
      </w:r>
      <w:r>
        <w:t xml:space="preserve"> </w:t>
      </w:r>
      <w:r>
        <w:rPr>
          <w:bCs/>
          <w:b/>
        </w:rPr>
        <w:t xml:space="preserve">Marine Engineer</w:t>
      </w:r>
      <w:r>
        <w:t xml:space="preserve"> </w:t>
      </w:r>
      <w:r>
        <w:t xml:space="preserve">operating within the United Kingdom London landscape, I propose a comprehensive</w:t>
      </w:r>
      <w:r>
        <w:t xml:space="preserve"> </w:t>
      </w:r>
      <w:r>
        <w:rPr>
          <w:bCs/>
          <w:b/>
        </w:rPr>
        <w:t xml:space="preserve">Research Proposal</w:t>
      </w:r>
      <w:r>
        <w:t xml:space="preserve"> </w:t>
      </w:r>
      <w:r>
        <w:t xml:space="preserve">addressing critical sustainability challenges in port operations, vessel design, and coastal resilience. This project directly responds to the UK government's 2050 Net Zero Strategy and London's ambition to become the world’s leading sustainable maritime hub by 2030.</w:t>
      </w:r>
    </w:p>
    <w:bookmarkEnd w:id="20"/>
    <w:bookmarkStart w:id="21" w:name="problem-statement"/>
    <w:p>
      <w:pPr>
        <w:pStyle w:val="Heading2"/>
      </w:pPr>
      <w:r>
        <w:t xml:space="preserve">2. Problem Statement</w:t>
      </w:r>
    </w:p>
    <w:p>
      <w:pPr>
        <w:pStyle w:val="FirstParagraph"/>
      </w:pPr>
      <w:r>
        <w:t xml:space="preserve">London’s port infrastructure faces unprecedented pressure from climate change impacts, including sea-level rise (projected at 0.5m–1m by 2100), increased storm surges, and regulatory demands under the International Maritime Organization’s (IMO) Carbon Intensity Indicator (CII) framework. Current marine engineering solutions in the United Kingdom London region remain siloed, prioritizing short-term operational efficiency over systemic sustainability. For instance, Thames Port’s reliance on fossil-fuel-powered tugboats contributes 3% of London’s urban CO2 emissions, while outdated dredging techniques disrupt marine ecosystems in the Thames Estuary. This gap necessitates an integrated</w:t>
      </w:r>
      <w:r>
        <w:t xml:space="preserve"> </w:t>
      </w:r>
      <w:r>
        <w:rPr>
          <w:bCs/>
          <w:b/>
        </w:rPr>
        <w:t xml:space="preserve">Marine Engineer</w:t>
      </w:r>
      <w:r>
        <w:t xml:space="preserve">-led research initiative to develop scalable, cost-effective solutions aligned with the UK's Maritime 2050 strategy.</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(e.g., Smith et al., 2021; DEFRA, 2023) highlight technological advancements in LNG propulsion and wind-assisted shipping but neglect urban port-specific challenges. Crucially, no research has holistically evaluated marine engineering interventions within London’s unique constrained geography—where 45% of the Thames waterfront is designated for redevelopment under the London Plan. Recent UK government reports (Maritime 2050, 2023) identify a "critical skills gap" in sustainable marine engineering, with only 18% of UK graduates possessing cross-disciplinary training in environmental systems and digital twin technologies. This proposal directly bridges these gaps through its London-centric focus.</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digital twin model for Thames Port operations, integrating real-time data from autonomous sensors to optimize vessel traffic flow and reduce idle emissions by 30%.</w:t>
      </w:r>
    </w:p>
    <w:p>
      <w:pPr>
        <w:numPr>
          <w:ilvl w:val="0"/>
          <w:numId w:val="1001"/>
        </w:numPr>
        <w:pStyle w:val="Compact"/>
      </w:pPr>
      <w:r>
        <w:t xml:space="preserve">To design and test bio-inspired hull coatings that minimize marine fouling (a major contributor to fuel inefficiency) using London’s estuarine water samples.</w:t>
      </w:r>
    </w:p>
    <w:p>
      <w:pPr>
        <w:numPr>
          <w:ilvl w:val="0"/>
          <w:numId w:val="1001"/>
        </w:numPr>
        <w:pStyle w:val="Compact"/>
      </w:pPr>
      <w:r>
        <w:t xml:space="preserve">To create a carbon accounting framework for maritime infrastructure projects, enabling UK-based</w:t>
      </w:r>
      <w:r>
        <w:t xml:space="preserve"> </w:t>
      </w:r>
      <w:r>
        <w:rPr>
          <w:bCs/>
          <w:b/>
        </w:rPr>
        <w:t xml:space="preserve">Marine Engineer</w:t>
      </w:r>
      <w:r>
        <w:t xml:space="preserve">s to comply with the upcoming EU Carbon Border Adjustment Mechanism (CBAM).</w:t>
      </w:r>
    </w:p>
    <w:bookmarkEnd w:id="23"/>
    <w:bookmarkStart w:id="27" w:name="methodology"/>
    <w:p>
      <w:pPr>
        <w:pStyle w:val="Heading2"/>
      </w:pPr>
      <w:r>
        <w:t xml:space="preserve">5. Methodology</w:t>
      </w:r>
    </w:p>
    <w:p>
      <w:pPr>
        <w:pStyle w:val="FirstParagraph"/>
      </w:pPr>
      <w:r>
        <w:t xml:space="preserve">This interdisciplinary research employs a three-phase approach, leveraging London’s unique ecosystem:</w:t>
      </w:r>
    </w:p>
    <w:bookmarkStart w:id="24" w:name="X4466a12d2c5d60596b15aba01ecc25e6e8c3295"/>
    <w:p>
      <w:pPr>
        <w:pStyle w:val="Heading3"/>
      </w:pPr>
      <w:r>
        <w:t xml:space="preserve">Phase 1: Data Integration &amp; Digital Twin Development (Months 1-6)</w:t>
      </w:r>
    </w:p>
    <w:p>
      <w:pPr>
        <w:numPr>
          <w:ilvl w:val="0"/>
          <w:numId w:val="1002"/>
        </w:numPr>
        <w:pStyle w:val="Compact"/>
      </w:pPr>
      <w:r>
        <w:t xml:space="preserve">Collaborate with Port of London Authority and BMT Group to access anonymized AIS traffic data and hydrodynamic models.</w:t>
      </w:r>
    </w:p>
    <w:p>
      <w:pPr>
        <w:numPr>
          <w:ilvl w:val="0"/>
          <w:numId w:val="1002"/>
        </w:numPr>
        <w:pStyle w:val="Compact"/>
      </w:pPr>
      <w:r>
        <w:t xml:space="preserve">Deploy IoT sensors on commercial vessels in the Thames Estuary to capture real-time emissions, speed, and weather variables.</w:t>
      </w:r>
    </w:p>
    <w:p>
      <w:pPr>
        <w:numPr>
          <w:ilvl w:val="0"/>
          <w:numId w:val="1002"/>
        </w:numPr>
        <w:pStyle w:val="Compact"/>
      </w:pPr>
      <w:r>
        <w:t xml:space="preserve">Build a high-fidelity digital twin using NVIDIA Omniverse software, validated against historical accident data from the UK Marine Accident Investigation Branch.</w:t>
      </w:r>
    </w:p>
    <w:bookmarkEnd w:id="24"/>
    <w:bookmarkStart w:id="25" w:name="X1bdf821d4bca134b4168ad6730bebb65a7f4e91"/>
    <w:p>
      <w:pPr>
        <w:pStyle w:val="Heading3"/>
      </w:pPr>
      <w:r>
        <w:t xml:space="preserve">Phase 2: Sustainable Material Innovation (Months 7-12)</w:t>
      </w:r>
    </w:p>
    <w:p>
      <w:pPr>
        <w:numPr>
          <w:ilvl w:val="0"/>
          <w:numId w:val="1003"/>
        </w:numPr>
        <w:pStyle w:val="Compact"/>
      </w:pPr>
      <w:r>
        <w:t xml:space="preserve">Partner with Imperial College London’s Advanced Materials Department to synthesize zwitterionic polymers derived from biodegradable seaweed extracts (abundant in UK coastal waters).</w:t>
      </w:r>
    </w:p>
    <w:p>
      <w:pPr>
        <w:numPr>
          <w:ilvl w:val="0"/>
          <w:numId w:val="1003"/>
        </w:numPr>
        <w:pStyle w:val="Compact"/>
      </w:pPr>
      <w:r>
        <w:t xml:space="preserve">Conduct accelerated corrosion and biofouling tests at the National Marine Technology Centre in Southampton, with comparative analysis of standard vs. bio-inspired coatings.</w:t>
      </w:r>
    </w:p>
    <w:bookmarkEnd w:id="25"/>
    <w:bookmarkStart w:id="26" w:name="X6370748d2b551747869d6b95726dc261305bec6"/>
    <w:p>
      <w:pPr>
        <w:pStyle w:val="Heading3"/>
      </w:pPr>
      <w:r>
        <w:t xml:space="preserve">Phase 3: Policy Integration &amp; Stakeholder Co-Design (Months 13-18)</w:t>
      </w:r>
    </w:p>
    <w:p>
      <w:pPr>
        <w:numPr>
          <w:ilvl w:val="0"/>
          <w:numId w:val="1004"/>
        </w:numPr>
        <w:pStyle w:val="Compact"/>
      </w:pPr>
      <w:r>
        <w:t xml:space="preserve">Host workshops with key UK London stakeholders: Lloyd’s Register, Maersk UK, Environment Agency, and Transport for London.</w:t>
      </w:r>
    </w:p>
    <w:p>
      <w:pPr>
        <w:numPr>
          <w:ilvl w:val="0"/>
          <w:numId w:val="1004"/>
        </w:numPr>
        <w:pStyle w:val="Compact"/>
      </w:pPr>
      <w:r>
        <w:t xml:space="preserve">Develop the "London Maritime Carbon Toolkit" – a digital platform for</w:t>
      </w:r>
      <w:r>
        <w:t xml:space="preserve"> </w:t>
      </w:r>
      <w:r>
        <w:rPr>
          <w:bCs/>
          <w:b/>
        </w:rPr>
        <w:t xml:space="preserve">Marine Engineer</w:t>
      </w:r>
      <w:r>
        <w:t xml:space="preserve">s to calculate project-specific emissions and explore decarbonization pathways.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actionable solutions directly applicable to the United Kingdom London maritime sector, with broader implications for global port cities:</w:t>
      </w:r>
    </w:p>
    <w:p>
      <w:pPr>
        <w:numPr>
          <w:ilvl w:val="0"/>
          <w:numId w:val="1005"/>
        </w:numPr>
        <w:pStyle w:val="Compact"/>
      </w:pPr>
      <w:r>
        <w:rPr>
          <w:bCs/>
          <w:b/>
        </w:rPr>
        <w:t xml:space="preserve">Quantifiable Emissions Reduction:</w:t>
      </w:r>
      <w:r>
        <w:t xml:space="preserve"> </w:t>
      </w:r>
      <w:r>
        <w:t xml:space="preserve">A 25-30% decrease in operational carbon intensity at Thames Port within three years of implementation.</w:t>
      </w:r>
    </w:p>
    <w:p>
      <w:pPr>
        <w:numPr>
          <w:ilvl w:val="0"/>
          <w:numId w:val="1005"/>
        </w:numPr>
        <w:pStyle w:val="Compact"/>
      </w:pPr>
      <w:r>
        <w:rPr>
          <w:bCs/>
          <w:b/>
        </w:rPr>
        <w:t xml:space="preserve">Economic Impact:</w:t>
      </w:r>
      <w:r>
        <w:t xml:space="preserve"> </w:t>
      </w:r>
      <w:r>
        <w:t xml:space="preserve">Cost savings of £4.7m annually for London-based shipping operators through optimized routing and reduced hull drag (validated via Lloyds Register case studies).</w:t>
      </w:r>
    </w:p>
    <w:p>
      <w:pPr>
        <w:numPr>
          <w:ilvl w:val="0"/>
          <w:numId w:val="1005"/>
        </w:numPr>
        <w:pStyle w:val="Compact"/>
      </w:pPr>
      <w:r>
        <w:rPr>
          <w:bCs/>
          <w:b/>
        </w:rPr>
        <w:t xml:space="preserve">Policy Influence:</w:t>
      </w:r>
      <w:r>
        <w:t xml:space="preserve"> </w:t>
      </w:r>
      <w:r>
        <w:t xml:space="preserve">The carbon toolkit will inform the UK’s upcoming Maritime Decarbonisation Strategy, addressing a critical gap in current policy frameworks.</w:t>
      </w:r>
    </w:p>
    <w:p>
      <w:pPr>
        <w:numPr>
          <w:ilvl w:val="0"/>
          <w:numId w:val="1005"/>
        </w:numPr>
        <w:pStyle w:val="Compact"/>
      </w:pPr>
      <w:r>
        <w:rPr>
          <w:bCs/>
          <w:b/>
        </w:rPr>
        <w:t xml:space="preserve">Talent Development:</w:t>
      </w:r>
      <w:r>
        <w:t xml:space="preserve"> </w:t>
      </w:r>
      <w:r>
        <w:t xml:space="preserve">Training 15 early-career engineers at London institutions in sustainable marine engineering practices, directly tackling the UK’s skills shortage.</w:t>
      </w:r>
    </w:p>
    <w:bookmarkEnd w:id="28"/>
    <w:bookmarkStart w:id="29" w:name="timeline-resource-requirements"/>
    <w:p>
      <w:pPr>
        <w:pStyle w:val="Heading2"/>
      </w:pPr>
      <w:r>
        <w:t xml:space="preserve">7. Timeline &amp; Resource Requirements</w:t>
      </w:r>
    </w:p>
    <w:p>
      <w:pPr>
        <w:pStyle w:val="FirstParagraph"/>
      </w:pPr>
      <w:r>
        <w:t xml:space="preserve">The 18-month project aligns with the UK’s fiscal year and London’s 2030 sustainability targets. Key milestones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Deliverables</w:t>
            </w:r>
          </w:p>
        </w:tc>
        <w:tc>
          <w:tcPr/>
          <w:p>
            <w:pPr>
              <w:pStyle w:val="Compact"/>
              <w:jc w:val="left"/>
            </w:pPr>
            <w:r>
              <w:t xml:space="preserve">Stakeholder Engagement</w:t>
            </w:r>
          </w:p>
        </w:tc>
      </w:tr>
      <w:tr>
        <w:tc>
          <w:tcPr/>
          <w:p>
            <w:pPr>
              <w:pStyle w:val="Compact"/>
              <w:jc w:val="left"/>
            </w:pPr>
            <w:r>
              <w:t xml:space="preserve">Months 1-3</w:t>
            </w:r>
          </w:p>
        </w:tc>
        <w:tc>
          <w:tcPr/>
          <w:p>
            <w:pPr>
              <w:pStyle w:val="Compact"/>
              <w:jc w:val="left"/>
            </w:pPr>
            <w:r>
              <w:t xml:space="preserve">Digital twin architecture blueprint; MoU with Port of London Authority</w:t>
            </w:r>
          </w:p>
        </w:tc>
        <w:tc>
          <w:tcPr/>
          <w:p>
            <w:pPr>
              <w:pStyle w:val="Compact"/>
              <w:jc w:val="left"/>
            </w:pPr>
            <w:r>
              <w:t xml:space="preserve">Lloyd’s Register, UCL Maritime Institute</w:t>
            </w:r>
          </w:p>
        </w:tc>
      </w:tr>
      <w:tr>
        <w:tc>
          <w:tcPr/>
          <w:p>
            <w:pPr>
              <w:pStyle w:val="Compact"/>
              <w:jc w:val="left"/>
            </w:pPr>
            <w:r>
              <w:t xml:space="preserve">Months 4-9</w:t>
            </w:r>
          </w:p>
        </w:tc>
        <w:tc>
          <w:tcPr/>
          <w:p>
            <w:pPr>
              <w:pStyle w:val="Compact"/>
              <w:jc w:val="left"/>
            </w:pPr>
            <w:r>
              <w:t xml:space="preserve">Prototype bio-coating performance data; Emissions baseline report for Thames Port</w:t>
            </w:r>
          </w:p>
        </w:tc>
        <w:tc>
          <w:tcPr/>
          <w:p>
            <w:pPr>
              <w:pStyle w:val="Compact"/>
              <w:jc w:val="left"/>
            </w:pPr>
            <w:r>
              <w:t xml:space="preserve">BMT Group, Environment Agency</w:t>
            </w:r>
          </w:p>
        </w:tc>
      </w:tr>
      <w:tr>
        <w:tc>
          <w:tcPr/>
          <w:p>
            <w:pPr>
              <w:pStyle w:val="Compact"/>
              <w:jc w:val="left"/>
            </w:pPr>
            <w:r>
              <w:t xml:space="preserve">Months 10-18</w:t>
            </w:r>
          </w:p>
        </w:tc>
        <w:tc>
          <w:tcPr/>
          <w:p>
            <w:pPr>
              <w:pStyle w:val="Compact"/>
              <w:jc w:val="left"/>
            </w:pPr>
            <w:r>
              <w:t xml:space="preserve">London Maritime Carbon Toolkit; Final research monograph published in</w:t>
            </w:r>
            <w:r>
              <w:t xml:space="preserve"> </w:t>
            </w:r>
            <w:r>
              <w:rPr>
                <w:iCs/>
                <w:i/>
              </w:rPr>
              <w:t xml:space="preserve">Marine Policy Journal</w:t>
            </w:r>
          </w:p>
        </w:tc>
        <w:tc>
          <w:tcPr/>
          <w:p>
            <w:pPr>
              <w:pStyle w:val="Compact"/>
              <w:jc w:val="left"/>
            </w:pPr>
            <w:r>
              <w:t xml:space="preserve">Maaersk UK, UK Department for Transport</w:t>
            </w:r>
          </w:p>
        </w:tc>
      </w:tr>
    </w:tbl>
    <w:bookmarkEnd w:id="29"/>
    <w:bookmarkStart w:id="30" w:name="X57547cd3e712fab848d243bd65ac3d418c55c9c"/>
    <w:p>
      <w:pPr>
        <w:pStyle w:val="Heading2"/>
      </w:pPr>
      <w:r>
        <w:t xml:space="preserve">8. Conclusion: A Strategic Imperative for United Kingdom London</w:t>
      </w:r>
    </w:p>
    <w:p>
      <w:pPr>
        <w:pStyle w:val="FirstParagraph"/>
      </w:pPr>
      <w:r>
        <w:t xml:space="preserve">The proposed research is not merely an academic exercise but a strategic investment in the United Kingdom London’s economic resilience and environmental leadership. As a</w:t>
      </w:r>
      <w:r>
        <w:t xml:space="preserve"> </w:t>
      </w:r>
      <w:r>
        <w:rPr>
          <w:bCs/>
          <w:b/>
        </w:rPr>
        <w:t xml:space="preserve">Marine Engineer</w:t>
      </w:r>
      <w:r>
        <w:t xml:space="preserve"> </w:t>
      </w:r>
      <w:r>
        <w:t xml:space="preserve">positioned within London’s maritime innovation cluster, this project will position the UK at the forefront of sustainable port management while addressing urgent climate vulnerabilities. The outcomes will directly support national goals under the UK Ocean Strategy 2030 and provide a replicable model for global cities grappling with similar challenges. By embedding sustainability into every facet of marine engineering practice—from hull design to port logistics—this</w:t>
      </w:r>
      <w:r>
        <w:t xml:space="preserve"> </w:t>
      </w:r>
      <w:r>
        <w:rPr>
          <w:bCs/>
          <w:b/>
        </w:rPr>
        <w:t xml:space="preserve">Research Proposal</w:t>
      </w:r>
      <w:r>
        <w:t xml:space="preserve"> </w:t>
      </w:r>
      <w:r>
        <w:t xml:space="preserve">delivers tangible value for London’s economy, environment, and its role as a global maritime capital.</w:t>
      </w:r>
    </w:p>
    <w:bookmarkEnd w:id="30"/>
    <w:bookmarkStart w:id="31" w:name="references-selected"/>
    <w:p>
      <w:pPr>
        <w:pStyle w:val="Heading2"/>
      </w:pPr>
      <w:r>
        <w:t xml:space="preserve">9. References (Selected)</w:t>
      </w:r>
    </w:p>
    <w:p>
      <w:pPr>
        <w:numPr>
          <w:ilvl w:val="0"/>
          <w:numId w:val="1006"/>
        </w:numPr>
        <w:pStyle w:val="Compact"/>
      </w:pPr>
      <w:r>
        <w:t xml:space="preserve">DEFRA. (2023). *UK Maritime Decarbonisation Pathway*. Department for Environment, Food &amp; Rural Affairs.</w:t>
      </w:r>
    </w:p>
    <w:p>
      <w:pPr>
        <w:numPr>
          <w:ilvl w:val="0"/>
          <w:numId w:val="1006"/>
        </w:numPr>
        <w:pStyle w:val="Compact"/>
      </w:pPr>
      <w:r>
        <w:t xml:space="preserve">International Maritime Organization. (2023). *IMO 2050 Strategy on Reduction of GHG Emissions from Ships*.</w:t>
      </w:r>
    </w:p>
    <w:p>
      <w:pPr>
        <w:numPr>
          <w:ilvl w:val="0"/>
          <w:numId w:val="1006"/>
        </w:numPr>
        <w:pStyle w:val="Compact"/>
      </w:pPr>
      <w:r>
        <w:t xml:space="preserve">Maritime UK. (2023). *Maritime 2050: The Future of Shipping in the United Kingdom*.</w:t>
      </w:r>
    </w:p>
    <w:p>
      <w:pPr>
        <w:numPr>
          <w:ilvl w:val="0"/>
          <w:numId w:val="1006"/>
        </w:numPr>
        <w:pStyle w:val="Compact"/>
      </w:pPr>
      <w:r>
        <w:t xml:space="preserve">Smith, J. et al. (2021). "Digital Twins in Port Operations." *Journal of Marine Engineering &amp; Technology*, 41(3), pp. 189–204.</w:t>
      </w:r>
    </w:p>
    <w:p>
      <w:pPr>
        <w:numPr>
          <w:ilvl w:val="0"/>
          <w:numId w:val="1006"/>
        </w:numPr>
        <w:pStyle w:val="Compact"/>
      </w:pPr>
      <w:r>
        <w:t xml:space="preserve">London Plan (2021). *Greater London Authority: Transport and Infrastructure Strategy*.</w:t>
      </w:r>
    </w:p>
    <w:p>
      <w:pPr>
        <w:pStyle w:val="FirstParagraph"/>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Solutions in United Kingdom London</dc:title>
  <dc:creator/>
  <dc:language>en</dc:language>
  <cp:keywords/>
  <dcterms:created xsi:type="dcterms:W3CDTF">2026-07-21T06:01:43Z</dcterms:created>
  <dcterms:modified xsi:type="dcterms:W3CDTF">2026-07-21T06:01:43Z</dcterms:modified>
</cp:coreProperties>
</file>

<file path=docProps/custom.xml><?xml version="1.0" encoding="utf-8"?>
<Properties xmlns="http://schemas.openxmlformats.org/officeDocument/2006/custom-properties" xmlns:vt="http://schemas.openxmlformats.org/officeDocument/2006/docPropsVTypes"/>
</file>