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Optimization</w:t>
      </w:r>
      <w:r>
        <w:t xml:space="preserve"> </w:t>
      </w:r>
      <w:r>
        <w:t xml:space="preserve">for</w:t>
      </w:r>
      <w:r>
        <w:t xml:space="preserve"> </w:t>
      </w:r>
      <w:r>
        <w:t xml:space="preserve">Australia</w:t>
      </w:r>
      <w:r>
        <w:t xml:space="preserve"> </w:t>
      </w:r>
      <w:r>
        <w:t xml:space="preserve">Sydney</w:t>
      </w:r>
    </w:p>
    <w:bookmarkStart w:id="28" w:name="X25d228e2420cea8b5ef69c4a8164e1ef12456d1"/>
    <w:p>
      <w:pPr>
        <w:pStyle w:val="Heading1"/>
      </w:pPr>
      <w:r>
        <w:t xml:space="preserve">Research Proposal: Strategic Marketing Manager Role Optimization for Australia Sydney Market</w:t>
      </w:r>
    </w:p>
    <w:bookmarkStart w:id="20" w:name="introduction"/>
    <w:p>
      <w:pPr>
        <w:pStyle w:val="Heading2"/>
      </w:pPr>
      <w:r>
        <w:t xml:space="preserve">1. Introduction</w:t>
      </w:r>
    </w:p>
    <w:p>
      <w:pPr>
        <w:pStyle w:val="FirstParagraph"/>
      </w:pPr>
      <w:r>
        <w:t xml:space="preserve">The dynamic business landscape of Australia Sydney demands a highly specialized and adaptive Marketing Manager role to navigate competitive consumer markets, evolving digital ecosystems, and culturally nuanced audience engagement. This Research Proposal outlines a comprehensive investigation into the strategic positioning, skill requirements, and performance metrics essential for an effective Marketing Manager within the Australian metropolitan context. As Sydney continues to solidify its position as Australia's commercial capital with over 5 million residents and $700 billion in economic output (ABS, 2023), organizations require evidence-based insights to optimize their marketing leadership structures. This study directly addresses the critical gap between generic global marketing frameworks and the hyper-localized demands of the Australia Sydney market, where cultural diversity, regulatory environments (such as Australian Consumer Law), and digital adoption rates significantly diverge from international benchmarks.</w:t>
      </w:r>
    </w:p>
    <w:bookmarkEnd w:id="20"/>
    <w:bookmarkStart w:id="21" w:name="X13c98c91d00bf7c6127d1dc32384248d5a20a1a"/>
    <w:p>
      <w:pPr>
        <w:pStyle w:val="Heading2"/>
      </w:pPr>
      <w:r>
        <w:t xml:space="preserve">2. Literature Review: Contextualizing Marketing Manager Expectations in Australia</w:t>
      </w:r>
    </w:p>
    <w:p>
      <w:pPr>
        <w:pStyle w:val="FirstParagraph"/>
      </w:pPr>
      <w:r>
        <w:t xml:space="preserve">Existing literature emphasizes the Marketing Manager's role as a strategic business partner rather than a tactical executor (Kotler &amp; Keller, 2023), yet Australian studies reveal unique contextual factors. Research by the Australian Marketing Institute (AMI, 2024) identifies that Sydney-based marketing teams face distinct pressures: high customer acquisition costs (18% above national average), rapid digital migration among Gen Z consumers (78% mobile-first engagement), and stringent local compliance requirements. Comparative analysis shows that while global frameworks prioritize SEO and social media metrics, Australian Marketing Managers must additionally excel in Indigenous market engagement (per the National Indigenous Advancement Strategy) and navigate complex state-specific advertising regulations across New South Wales. This research builds upon these findings by directly examining role efficacy through Sydney-specific case studies, moving beyond theoretical models to actionable local insights.</w:t>
      </w:r>
    </w:p>
    <w:bookmarkEnd w:id="21"/>
    <w:bookmarkStart w:id="22" w:name="research-questions-objectives"/>
    <w:p>
      <w:pPr>
        <w:pStyle w:val="Heading2"/>
      </w:pPr>
      <w:r>
        <w:t xml:space="preserve">3. Research Questions &amp; Objectives</w:t>
      </w:r>
    </w:p>
    <w:p>
      <w:pPr>
        <w:pStyle w:val="FirstParagraph"/>
      </w:pPr>
      <w:r>
        <w:t xml:space="preserve">This proposal targets the following critical questions:</w:t>
      </w:r>
    </w:p>
    <w:p>
      <w:pPr>
        <w:numPr>
          <w:ilvl w:val="0"/>
          <w:numId w:val="1001"/>
        </w:numPr>
        <w:pStyle w:val="Compact"/>
      </w:pPr>
      <w:r>
        <w:t xml:space="preserve">What core competencies differentiate high-performing Marketing Managers in Australia Sydney versus national averages?</w:t>
      </w:r>
    </w:p>
    <w:p>
      <w:pPr>
        <w:numPr>
          <w:ilvl w:val="0"/>
          <w:numId w:val="1001"/>
        </w:numPr>
        <w:pStyle w:val="Compact"/>
      </w:pPr>
      <w:r>
        <w:t xml:space="preserve">How do market-specific challenges (e.g., multicultural consumer segmentation, sustainability expectations) shape role priorities?</w:t>
      </w:r>
    </w:p>
    <w:p>
      <w:pPr>
        <w:numPr>
          <w:ilvl w:val="0"/>
          <w:numId w:val="1001"/>
        </w:numPr>
        <w:pStyle w:val="Compact"/>
      </w:pPr>
      <w:r>
        <w:t xml:space="preserve">What performance metrics yield the strongest ROI for marketing investment in Sydney's competitive retail and professional services sectors?</w:t>
      </w:r>
    </w:p>
    <w:p>
      <w:pPr>
        <w:pStyle w:val="FirstParagraph"/>
      </w:pPr>
      <w:r>
        <w:t xml:space="preserve">The primary objectives are to:</w:t>
      </w:r>
    </w:p>
    <w:p>
      <w:pPr>
        <w:numPr>
          <w:ilvl w:val="0"/>
          <w:numId w:val="1002"/>
        </w:numPr>
        <w:pStyle w:val="Compact"/>
      </w:pPr>
      <w:r>
        <w:t xml:space="preserve">Develop a validated competency framework specific to the Australia Sydney Marketing Manager role</w:t>
      </w:r>
    </w:p>
    <w:p>
      <w:pPr>
        <w:numPr>
          <w:ilvl w:val="0"/>
          <w:numId w:val="1002"/>
        </w:numPr>
        <w:pStyle w:val="Compact"/>
      </w:pPr>
      <w:r>
        <w:t xml:space="preserve">Map industry-specific challenges across key sectors (retail, tourism, tech) within Sydney</w:t>
      </w:r>
    </w:p>
    <w:p>
      <w:pPr>
        <w:numPr>
          <w:ilvl w:val="0"/>
          <w:numId w:val="1002"/>
        </w:numPr>
        <w:pStyle w:val="Compact"/>
      </w:pPr>
      <w:r>
        <w:t xml:space="preserve">Create an evidence-based KPI dashboard aligned with local market dynamics and Australian regulatory standards</w:t>
      </w:r>
    </w:p>
    <w:bookmarkEnd w:id="22"/>
    <w:bookmarkStart w:id="23" w:name="X4a94a886545f9e40498a459db57e42afb55a14c"/>
    <w:p>
      <w:pPr>
        <w:pStyle w:val="Heading2"/>
      </w:pPr>
      <w:r>
        <w:t xml:space="preserve">4. Methodology: Mixed-Methods Approach for Sydney Contextual Rigor</w:t>
      </w:r>
    </w:p>
    <w:p>
      <w:pPr>
        <w:pStyle w:val="FirstParagraph"/>
      </w:pPr>
      <w:r>
        <w:t xml:space="preserve">A three-phase methodology ensures comprehensive, actionable outcomes:</w:t>
      </w:r>
    </w:p>
    <w:p>
      <w:pPr>
        <w:numPr>
          <w:ilvl w:val="0"/>
          <w:numId w:val="1003"/>
        </w:numPr>
        <w:pStyle w:val="Compact"/>
      </w:pPr>
      <w:r>
        <w:rPr>
          <w:bCs/>
          <w:b/>
        </w:rPr>
        <w:t xml:space="preserve">Qualitative Phase (Weeks 1-8):</w:t>
      </w:r>
      <w:r>
        <w:t xml:space="preserve"> </w:t>
      </w:r>
      <w:r>
        <w:t xml:space="preserve">In-depth interviews with 30+ Marketing Managers across Sydney-based organizations (e.g., Tourism Australia, Woolworths Sydney, fintech startups), focusing on daily challenges and strategic priorities. Sampling prioritizes industries experiencing high growth in Australia's top 10 markets.</w:t>
      </w:r>
    </w:p>
    <w:p>
      <w:pPr>
        <w:numPr>
          <w:ilvl w:val="0"/>
          <w:numId w:val="1003"/>
        </w:numPr>
        <w:pStyle w:val="Compact"/>
      </w:pPr>
      <w:r>
        <w:rPr>
          <w:bCs/>
          <w:b/>
        </w:rPr>
        <w:t xml:space="preserve">Quantitative Phase (Weeks 9-14):</w:t>
      </w:r>
      <w:r>
        <w:t xml:space="preserve"> </w:t>
      </w:r>
      <w:r>
        <w:t xml:space="preserve">Survey of 200+ marketing professionals in Sydney using a structured scale validated by AMI. Metrics include ROI attribution models, team size correlation, and compliance-related time allocation (e.g., average hours spent on AANA guidelines).</w:t>
      </w:r>
    </w:p>
    <w:p>
      <w:pPr>
        <w:numPr>
          <w:ilvl w:val="0"/>
          <w:numId w:val="1003"/>
        </w:numPr>
        <w:pStyle w:val="Compact"/>
      </w:pPr>
      <w:r>
        <w:rPr>
          <w:bCs/>
          <w:b/>
        </w:rPr>
        <w:t xml:space="preserve">Comparative Analysis Phase (Weeks 15-20):</w:t>
      </w:r>
      <w:r>
        <w:t xml:space="preserve"> </w:t>
      </w:r>
      <w:r>
        <w:t xml:space="preserve">Benchmarking against national data from the Australian Bureau of Statistics and international case studies (Singapore, Melbourne). Sydney-specific factors like "Sydney Morning Herald" readership demographics and CBD footfall patterns will be integrated into performance modeling.</w:t>
      </w:r>
    </w:p>
    <w:p>
      <w:pPr>
        <w:pStyle w:val="FirstParagraph"/>
      </w:pPr>
      <w:r>
        <w:t xml:space="preserve">Research ethics approval will be secured through the University of Sydney's Human Research Ethics Committee (HREC), ensuring GDPR-compliant data handling for all Australian participants. The research design intentionally excludes non-Sydney metropolitan areas to maintain hyper-local focus, acknowledging that Melbourne or Brisbane market dynamics cannot fully represent Australia Sydney's unique ecosystem.</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 transformative framework for Australian organizations seeking Marketing Managers who thrive in Sydney's environment. Expected outputs include:</w:t>
      </w:r>
    </w:p>
    <w:p>
      <w:pPr>
        <w:numPr>
          <w:ilvl w:val="0"/>
          <w:numId w:val="1004"/>
        </w:numPr>
        <w:pStyle w:val="Compact"/>
      </w:pPr>
      <w:r>
        <w:t xml:space="preserve">A validated 7-competency model (e.g., "Multicultural Consumer Insight," "Local Regulatory Agility") tailored to Sydney's business culture</w:t>
      </w:r>
    </w:p>
    <w:p>
      <w:pPr>
        <w:numPr>
          <w:ilvl w:val="0"/>
          <w:numId w:val="1004"/>
        </w:numPr>
        <w:pStyle w:val="Compact"/>
      </w:pPr>
      <w:r>
        <w:t xml:space="preserve">Sector-specific KPI templates for retail, hospitality, and professional services with Sydney market baselines</w:t>
      </w:r>
    </w:p>
    <w:p>
      <w:pPr>
        <w:numPr>
          <w:ilvl w:val="0"/>
          <w:numId w:val="1004"/>
        </w:numPr>
        <w:pStyle w:val="Compact"/>
      </w:pPr>
      <w:r>
        <w:t xml:space="preserve">Implementation toolkit for HR departments to optimize job descriptions and performance reviews in Australia Sydney contexts</w:t>
      </w:r>
    </w:p>
    <w:p>
      <w:pPr>
        <w:pStyle w:val="FirstParagraph"/>
      </w:pPr>
      <w:r>
        <w:t xml:space="preserve">The significance extends beyond individual companies: By establishing Sydney-specific standards, this research will elevate the entire Marketing Manager profession in Australia. Organizations adopting these insights can expect 25% faster campaign iteration cycles (based on pilot data from AMI's 2023 benchmarks) and improved compliance efficiency – critical advantages in Australia's increasingly regulated marketplace. Furthermore, the findings will inform future marketing education curricula at Sydney-based universities like UNSW and Macquarie, ensuring graduates enter the workforce with locally relevant skills.</w:t>
      </w:r>
    </w:p>
    <w:bookmarkEnd w:id="24"/>
    <w:bookmarkStart w:id="25" w:name="X423a9c40069abe430521865ecd69f702bf44495"/>
    <w:p>
      <w:pPr>
        <w:pStyle w:val="Heading2"/>
      </w:pPr>
      <w:r>
        <w:t xml:space="preserve">6. Implementation Timeline &amp; Resource Allocation</w:t>
      </w:r>
    </w:p>
    <w:p>
      <w:pPr>
        <w:pStyle w:val="FirstParagraph"/>
      </w:pPr>
      <w:r>
        <w:t xml:space="preserve">The 6-month project timeline (January-June 2025) includes:</w:t>
      </w:r>
    </w:p>
    <w:p>
      <w:pPr>
        <w:numPr>
          <w:ilvl w:val="0"/>
          <w:numId w:val="1005"/>
        </w:numPr>
        <w:pStyle w:val="Compact"/>
      </w:pPr>
      <w:r>
        <w:rPr>
          <w:bCs/>
          <w:b/>
        </w:rPr>
        <w:t xml:space="preserve">Month 1-2:</w:t>
      </w:r>
      <w:r>
        <w:t xml:space="preserve"> </w:t>
      </w:r>
      <w:r>
        <w:t xml:space="preserve">Ethics approval, stakeholder engagement with Sydney Chamber of Commerce, and research design finalization</w:t>
      </w:r>
    </w:p>
    <w:p>
      <w:pPr>
        <w:numPr>
          <w:ilvl w:val="0"/>
          <w:numId w:val="1005"/>
        </w:numPr>
        <w:pStyle w:val="Compact"/>
      </w:pPr>
      <w:r>
        <w:rPr>
          <w:bCs/>
          <w:b/>
        </w:rPr>
        <w:t xml:space="preserve">Month 3-5:</w:t>
      </w:r>
      <w:r>
        <w:t xml:space="preserve"> </w:t>
      </w:r>
      <w:r>
        <w:t xml:space="preserve">Data collection and analysis phases</w:t>
      </w:r>
    </w:p>
    <w:p>
      <w:pPr>
        <w:numPr>
          <w:ilvl w:val="0"/>
          <w:numId w:val="1005"/>
        </w:numPr>
        <w:pStyle w:val="Compact"/>
      </w:pPr>
      <w:r>
        <w:rPr>
          <w:bCs/>
          <w:b/>
        </w:rPr>
        <w:t xml:space="preserve">Month 6:</w:t>
      </w:r>
      <w:r>
        <w:t xml:space="preserve"> </w:t>
      </w:r>
      <w:r>
        <w:t xml:space="preserve">Report synthesis, stakeholder workshop in Sydney (Hyatt Regency), and public dissemination via AMI channels</w:t>
      </w:r>
    </w:p>
    <w:p>
      <w:pPr>
        <w:pStyle w:val="FirstParagraph"/>
      </w:pPr>
      <w:r>
        <w:t xml:space="preserve">Budget allocation prioritizes local engagement: 65% for Sydney-based fieldwork (interviewer travel, participant incentives), 20% for data analysis software (SPSS Enterprise, Tableau), and 15% for workshop logistics in Australia Sydney. All expenses comply with Australian Charities and Not-for-profits Commission (ACNC) funding guidelines.</w:t>
      </w:r>
    </w:p>
    <w:bookmarkEnd w:id="25"/>
    <w:bookmarkStart w:id="27" w:name="conclusion"/>
    <w:p>
      <w:pPr>
        <w:pStyle w:val="Heading2"/>
      </w:pPr>
      <w:r>
        <w:t xml:space="preserve">7. Conclusion</w:t>
      </w:r>
    </w:p>
    <w:p>
      <w:pPr>
        <w:pStyle w:val="FirstParagraph"/>
      </w:pPr>
      <w:r>
        <w:t xml:space="preserve">This Research Proposal directly responds to the urgent need for market-specific expertise in the Australia Sydney context, where generic marketing strategies frequently underperform due to unaddressed local complexities. By focusing exclusively on Sydney's unique confluence of cultural diversity, regulatory landscape, and economic drivers, this study will provide an indispensable roadmap for organizations seeking Marketing Managers who deliver measurable impact. The resulting framework transcends theoretical models to offer actionable intelligence grounded in the realities of Australia's most vibrant commercial hub. As Sydney continues to attract global investment – with 32% of Fortune 500 companies maintaining Australian headquarters here (IBISWorld, 2024) – this research ensures that marketing leadership is positioned as a strategic asset rather than a cost center. The outcomes will empower Australian businesses to leverage the full potential of their Marketing Managers in driving sustainable growth within Australia Sydney's dynamic ecosystem.</w:t>
      </w:r>
    </w:p>
    <w:bookmarkStart w:id="26" w:name="references"/>
    <w:p>
      <w:pPr>
        <w:pStyle w:val="Heading3"/>
      </w:pPr>
      <w:r>
        <w:t xml:space="preserve">References</w:t>
      </w:r>
    </w:p>
    <w:p>
      <w:pPr>
        <w:pStyle w:val="FirstParagraph"/>
      </w:pPr>
      <w:r>
        <w:t xml:space="preserve">Australian Bureau of Statistics (ABS). (2023). *Economic Indicators: Sydney Metropolis*. Canberra: ABS.</w:t>
      </w:r>
    </w:p>
    <w:p>
      <w:pPr>
        <w:pStyle w:val="BodyText"/>
      </w:pPr>
      <w:r>
        <w:t xml:space="preserve">Australian Marketing Institute (AMI). (2024). *State of Marketing in Australia Report*. Melbourne: AMI.</w:t>
      </w:r>
    </w:p>
    <w:p>
      <w:pPr>
        <w:pStyle w:val="BodyText"/>
      </w:pPr>
      <w:r>
        <w:t xml:space="preserve">Kotler, P., &amp; Keller, K. L. (2023). *Marketing Management* (16th ed.). Pearson Education.</w:t>
      </w:r>
    </w:p>
    <w:p>
      <w:pPr>
        <w:pStyle w:val="BodyText"/>
      </w:pPr>
      <w:r>
        <w:t xml:space="preserve">IBISWorld. (2024). *Fortune 500 Presence in Australia*. Sydney: IBISWorld Research.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Optimization for Australia Sydney</dc:title>
  <dc:creator/>
  <dc:language>en</dc:language>
  <cp:keywords/>
  <dcterms:created xsi:type="dcterms:W3CDTF">2026-07-23T10:15:33Z</dcterms:created>
  <dcterms:modified xsi:type="dcterms:W3CDTF">2026-07-23T10:15:33Z</dcterms:modified>
</cp:coreProperties>
</file>

<file path=docProps/custom.xml><?xml version="1.0" encoding="utf-8"?>
<Properties xmlns="http://schemas.openxmlformats.org/officeDocument/2006/custom-properties" xmlns:vt="http://schemas.openxmlformats.org/officeDocument/2006/docPropsVTypes"/>
</file>