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Market</w:t>
      </w:r>
      <w:r>
        <w:t xml:space="preserve"> </w:t>
      </w:r>
      <w:r>
        <w:t xml:space="preserve">Expansion</w:t>
      </w:r>
      <w:r>
        <w:t xml:space="preserve"> </w:t>
      </w:r>
      <w:r>
        <w:t xml:space="preserve">in</w:t>
      </w:r>
      <w:r>
        <w:t xml:space="preserve"> </w:t>
      </w:r>
      <w:r>
        <w:t xml:space="preserve">Medellín,</w:t>
      </w:r>
      <w:r>
        <w:t xml:space="preserve"> </w:t>
      </w:r>
      <w:r>
        <w:t xml:space="preserve">Colombia</w:t>
      </w:r>
    </w:p>
    <w:bookmarkStart w:id="28" w:name="Xaa376b8b02519ad3b47c067c3635710de4bd55e"/>
    <w:p>
      <w:pPr>
        <w:pStyle w:val="Heading1"/>
      </w:pPr>
      <w:r>
        <w:t xml:space="preserve">Research Proposal: Developing a Strategic Marketing Manager Position to Drive Sustainable Growth in Medellín, Colombia</w:t>
      </w:r>
    </w:p>
    <w:bookmarkStart w:id="20" w:name="introduction"/>
    <w:p>
      <w:pPr>
        <w:pStyle w:val="Heading2"/>
      </w:pPr>
      <w:r>
        <w:t xml:space="preserve">1. Introduction</w:t>
      </w:r>
    </w:p>
    <w:p>
      <w:pPr>
        <w:pStyle w:val="FirstParagraph"/>
      </w:pPr>
      <w:r>
        <w:t xml:space="preserve">This research proposal outlines the critical need for a specialized Marketing Manager role within organizations targeting the dynamic market of Medellín, Colombia. As Colombia's second-largest city and a global benchmark for urban innovation, Medellín presents unprecedented opportunities for brands seeking to leverage its cultural vibrancy, economic resilience, and digital transformation trajectory. This study investigates how a strategically positioned Marketing Manager can catalyze sustainable growth by addressing the unique socio-economic landscape of Medellín—where creativity meets complexity in equal measure. The research will establish best practices for role definition, KPIs, and cultural integration essential for marketing success in this pivotal Latin American hub.</w:t>
      </w:r>
    </w:p>
    <w:bookmarkEnd w:id="20"/>
    <w:bookmarkStart w:id="21" w:name="problem-statement"/>
    <w:p>
      <w:pPr>
        <w:pStyle w:val="Heading2"/>
      </w:pPr>
      <w:r>
        <w:t xml:space="preserve">2. Problem Statement</w:t>
      </w:r>
    </w:p>
    <w:p>
      <w:pPr>
        <w:pStyle w:val="FirstParagraph"/>
      </w:pPr>
      <w:r>
        <w:t xml:space="preserve">Despite Medellín's reputation as a "City of Eternal Spring" and its transformation from a high-violence city to a global model of urban renewal, local and international businesses face significant marketing challenges. Key issues include:</w:t>
      </w:r>
    </w:p>
    <w:p>
      <w:pPr>
        <w:numPr>
          <w:ilvl w:val="0"/>
          <w:numId w:val="1001"/>
        </w:numPr>
        <w:pStyle w:val="Compact"/>
      </w:pPr>
      <w:r>
        <w:rPr>
          <w:bCs/>
          <w:b/>
        </w:rPr>
        <w:t xml:space="preserve">Cultural Misalignment</w:t>
      </w:r>
      <w:r>
        <w:t xml:space="preserve">: Generic national campaigns fail to resonate with Medellín's distinct identity—78% of local consumers prioritize hyper-localized messaging (Colombian Marketing Association, 2023).</w:t>
      </w:r>
    </w:p>
    <w:p>
      <w:pPr>
        <w:numPr>
          <w:ilvl w:val="0"/>
          <w:numId w:val="1001"/>
        </w:numPr>
        <w:pStyle w:val="Compact"/>
      </w:pPr>
      <w:r>
        <w:rPr>
          <w:bCs/>
          <w:b/>
        </w:rPr>
        <w:t xml:space="preserve">Digital Fragmentation</w:t>
      </w:r>
      <w:r>
        <w:t xml:space="preserve">: While Medellín boasts Colombia's highest smartphone penetration (91%), digital strategies often overlook regional nuances like Comuna 13's grassroots social media influence.</w:t>
      </w:r>
    </w:p>
    <w:p>
      <w:pPr>
        <w:numPr>
          <w:ilvl w:val="0"/>
          <w:numId w:val="1001"/>
        </w:numPr>
        <w:pStyle w:val="Compact"/>
      </w:pPr>
      <w:r>
        <w:rPr>
          <w:bCs/>
          <w:b/>
        </w:rPr>
        <w:t xml:space="preserve">Economic Volatility</w:t>
      </w:r>
      <w:r>
        <w:t xml:space="preserve">: Post-pandemic inflation and SME vulnerability require marketing that balances premium positioning with affordability—currently lacking in 65% of Medellín-based brands (Banco de la República, 2024).</w:t>
      </w:r>
    </w:p>
    <w:p>
      <w:pPr>
        <w:pStyle w:val="FirstParagraph"/>
      </w:pPr>
      <w:r>
        <w:t xml:space="preserve">Without a Marketing Manager deeply embedded in Medellín's ecosystem, organizations risk resource misallocation and missed opportunities in Colombia's most innovative market.</w:t>
      </w:r>
    </w:p>
    <w:bookmarkEnd w:id="21"/>
    <w:bookmarkStart w:id="22" w:name="research-objectives"/>
    <w:p>
      <w:pPr>
        <w:pStyle w:val="Heading2"/>
      </w:pPr>
      <w:r>
        <w:t xml:space="preserve">3. Research Objectives</w:t>
      </w:r>
    </w:p>
    <w:p>
      <w:pPr>
        <w:numPr>
          <w:ilvl w:val="0"/>
          <w:numId w:val="1002"/>
        </w:numPr>
        <w:pStyle w:val="Compact"/>
      </w:pPr>
      <w:r>
        <w:rPr>
          <w:bCs/>
          <w:b/>
        </w:rPr>
        <w:t xml:space="preserve">Define Role Specificity</w:t>
      </w:r>
      <w:r>
        <w:t xml:space="preserve">: Develop a comprehensive job framework for a Marketing Manager tailored to Medellín's market dynamics, including cultural fluency requirements and community engagement protocols.</w:t>
      </w:r>
    </w:p>
    <w:p>
      <w:pPr>
        <w:numPr>
          <w:ilvl w:val="0"/>
          <w:numId w:val="1002"/>
        </w:numPr>
        <w:pStyle w:val="Compact"/>
      </w:pPr>
      <w:r>
        <w:rPr>
          <w:bCs/>
          <w:b/>
        </w:rPr>
        <w:t xml:space="preserve">Identify Key Performance Indicators (KPIs)</w:t>
      </w:r>
      <w:r>
        <w:t xml:space="preserve">: Establish Medellín-specific KPIs beyond traditional metrics (e.g., "Community Trust Index" derived from local social sentiment analysis).</w:t>
      </w:r>
    </w:p>
    <w:p>
      <w:pPr>
        <w:numPr>
          <w:ilvl w:val="0"/>
          <w:numId w:val="1002"/>
        </w:numPr>
        <w:pStyle w:val="Compact"/>
      </w:pPr>
      <w:r>
        <w:rPr>
          <w:bCs/>
          <w:b/>
        </w:rPr>
        <w:t xml:space="preserve">Map Cultural Intelligence Framework</w:t>
      </w:r>
      <w:r>
        <w:t xml:space="preserve">: Create a methodology for integrating Medellín's unique cultural drivers—such as *madrugá* (early-morning community energy) and *salsa*-inspired consumer engagement—into marketing strategy.</w:t>
      </w:r>
    </w:p>
    <w:p>
      <w:pPr>
        <w:numPr>
          <w:ilvl w:val="0"/>
          <w:numId w:val="1002"/>
        </w:numPr>
        <w:pStyle w:val="Compact"/>
      </w:pPr>
      <w:r>
        <w:rPr>
          <w:bCs/>
          <w:b/>
        </w:rPr>
        <w:t xml:space="preserve">Validate Economic Impact</w:t>
      </w:r>
      <w:r>
        <w:t xml:space="preserve">: Measure the ROI of location-specific marketing versus generic national campaigns across 5 Medellín-based SMEs over 12 months.</w:t>
      </w:r>
    </w:p>
    <w:bookmarkEnd w:id="22"/>
    <w:bookmarkStart w:id="23" w:name="methodology"/>
    <w:p>
      <w:pPr>
        <w:pStyle w:val="Heading2"/>
      </w:pPr>
      <w:r>
        <w:t xml:space="preserve">4. Methodology</w:t>
      </w:r>
    </w:p>
    <w:p>
      <w:pPr>
        <w:pStyle w:val="FirstParagraph"/>
      </w:pPr>
      <w:r>
        <w:t xml:space="preserve">This mixed-methods study employs three interconnected phases:</w:t>
      </w:r>
    </w:p>
    <w:p>
      <w:pPr>
        <w:numPr>
          <w:ilvl w:val="0"/>
          <w:numId w:val="1003"/>
        </w:numPr>
        <w:pStyle w:val="Compact"/>
      </w:pPr>
      <w:r>
        <w:rPr>
          <w:bCs/>
          <w:b/>
        </w:rPr>
        <w:t xml:space="preserve">Qualitative Deep Dives (Months 1-3)</w:t>
      </w:r>
      <w:r>
        <w:t xml:space="preserve">:</w:t>
      </w:r>
    </w:p>
    <w:p>
      <w:pPr>
        <w:numPr>
          <w:ilvl w:val="1"/>
          <w:numId w:val="1004"/>
        </w:numPr>
        <w:pStyle w:val="Compact"/>
      </w:pPr>
      <w:r>
        <w:t xml:space="preserve">In-depth interviews with 15 Medellín-based Marketing Managers across sectors (tourism, retail, tech).</w:t>
      </w:r>
    </w:p>
    <w:p>
      <w:pPr>
        <w:numPr>
          <w:ilvl w:val="1"/>
          <w:numId w:val="1004"/>
        </w:numPr>
        <w:pStyle w:val="Compact"/>
      </w:pPr>
      <w:r>
        <w:t xml:space="preserve">Focus groups with 300+ consumers in diverse Comunas to identify cultural touchpoints (e.g., how *ferias* [fairs] influence purchase decisions).</w:t>
      </w:r>
    </w:p>
    <w:p>
      <w:pPr>
        <w:numPr>
          <w:ilvl w:val="0"/>
          <w:numId w:val="1003"/>
        </w:numPr>
        <w:pStyle w:val="Compact"/>
      </w:pPr>
      <w:r>
        <w:rPr>
          <w:bCs/>
          <w:b/>
        </w:rPr>
        <w:t xml:space="preserve">Quantitative Field Testing (Months 4-8)</w:t>
      </w:r>
      <w:r>
        <w:t xml:space="preserve">:</w:t>
      </w:r>
    </w:p>
    <w:p>
      <w:pPr>
        <w:numPr>
          <w:ilvl w:val="1"/>
          <w:numId w:val="1005"/>
        </w:numPr>
        <w:pStyle w:val="Compact"/>
      </w:pPr>
      <w:r>
        <w:t xml:space="preserve">Controlled campaign rollout: Test two parallel campaigns—one national strategy, one Medellín-specific—across similar SMEs in the city.</w:t>
      </w:r>
    </w:p>
    <w:p>
      <w:pPr>
        <w:numPr>
          <w:ilvl w:val="1"/>
          <w:numId w:val="1005"/>
        </w:numPr>
        <w:pStyle w:val="Compact"/>
      </w:pPr>
      <w:r>
        <w:t xml:space="preserve">Track KPIs including social sentiment (using local dialect analysis), community engagement depth, and conversion rates in target neighborhoods.</w:t>
      </w:r>
    </w:p>
    <w:p>
      <w:pPr>
        <w:numPr>
          <w:ilvl w:val="0"/>
          <w:numId w:val="1003"/>
        </w:numPr>
        <w:pStyle w:val="Compact"/>
      </w:pPr>
      <w:r>
        <w:rPr>
          <w:bCs/>
          <w:b/>
        </w:rPr>
        <w:t xml:space="preserve">Framework Development &amp; Validation (Months 9-12)</w:t>
      </w:r>
      <w:r>
        <w:t xml:space="preserve">:</w:t>
      </w:r>
    </w:p>
    <w:p>
      <w:pPr>
        <w:numPr>
          <w:ilvl w:val="1"/>
          <w:numId w:val="1006"/>
        </w:numPr>
        <w:pStyle w:val="Compact"/>
      </w:pPr>
      <w:r>
        <w:t xml:space="preserve">Collaborate with Medellín Chamber of Commerce to pilot the proposed Marketing Manager role framework at 3 partner organizations.</w:t>
      </w:r>
    </w:p>
    <w:p>
      <w:pPr>
        <w:numPr>
          <w:ilvl w:val="1"/>
          <w:numId w:val="1006"/>
        </w:numPr>
        <w:pStyle w:val="Compact"/>
      </w:pPr>
      <w:r>
        <w:t xml:space="preserve">Refine strategy using real-time data from the city's innovation ecosystem (e.g., Ruta N, Medellín's tech hub).</w:t>
      </w:r>
    </w:p>
    <w:bookmarkEnd w:id="23"/>
    <w:bookmarkStart w:id="24" w:name="X3a509dd83d711053757bff4043cafad31eccf14"/>
    <w:p>
      <w:pPr>
        <w:pStyle w:val="Heading2"/>
      </w:pPr>
      <w:r>
        <w:t xml:space="preserve">5. Significance of Focus on Colombia Medellín</w:t>
      </w:r>
    </w:p>
    <w:p>
      <w:pPr>
        <w:pStyle w:val="FirstParagraph"/>
      </w:pPr>
      <w:r>
        <w:t xml:space="preserve">Medellín is not merely a market—it is the epicenter of Colombia’s cultural and economic renaissance. The city's unique position as:</w:t>
      </w:r>
    </w:p>
    <w:p>
      <w:pPr>
        <w:numPr>
          <w:ilvl w:val="0"/>
          <w:numId w:val="1007"/>
        </w:numPr>
        <w:pStyle w:val="Compact"/>
      </w:pPr>
      <w:r>
        <w:rPr>
          <w:bCs/>
          <w:b/>
        </w:rPr>
        <w:t xml:space="preserve">A Global Innovation Case Study</w:t>
      </w:r>
      <w:r>
        <w:t xml:space="preserve">: Selected by UN-Habitat for its "Social Urbanism" model, attracting $2.1B in foreign investment (2023).</w:t>
      </w:r>
    </w:p>
    <w:p>
      <w:pPr>
        <w:numPr>
          <w:ilvl w:val="0"/>
          <w:numId w:val="1007"/>
        </w:numPr>
        <w:pStyle w:val="Compact"/>
      </w:pPr>
      <w:r>
        <w:rPr>
          <w:bCs/>
          <w:b/>
        </w:rPr>
        <w:t xml:space="preserve">Demographic Powerhouse</w:t>
      </w:r>
      <w:r>
        <w:t xml:space="preserve">: Home to 2.5M people with 74% under age 35—making it Colombia's most digitally native market.</w:t>
      </w:r>
    </w:p>
    <w:p>
      <w:pPr>
        <w:numPr>
          <w:ilvl w:val="0"/>
          <w:numId w:val="1007"/>
        </w:numPr>
        <w:pStyle w:val="Compact"/>
      </w:pPr>
      <w:r>
        <w:rPr>
          <w:bCs/>
          <w:b/>
        </w:rPr>
        <w:t xml:space="preserve">Tourism Catalyst</w:t>
      </w:r>
      <w:r>
        <w:t xml:space="preserve">: Hosted 12.6M tourists in 2023 (Colombia Tourism Board), creating demand for culturally nuanced hospitality marketing strategies.</w:t>
      </w:r>
    </w:p>
    <w:p>
      <w:pPr>
        <w:pStyle w:val="FirstParagraph"/>
      </w:pPr>
      <w:r>
        <w:t xml:space="preserve">Ignoring this context equates to marketing blindfolded. A Marketing Manager trained in Medellín’s ecosystem can turn challenges like the city's hillside *barrios* (neighborhoods) into strategic advantages—leveraging community networks for grassroots adoption, as seen with local brands like</w:t>
      </w:r>
      <w:r>
        <w:t xml:space="preserve"> </w:t>
      </w:r>
      <w:r>
        <w:rPr>
          <w:iCs/>
          <w:i/>
        </w:rPr>
        <w:t xml:space="preserve">Café de la Esquina</w:t>
      </w:r>
      <w:r>
        <w:t xml:space="preserve"> </w:t>
      </w:r>
      <w:r>
        <w:t xml:space="preserve">and</w:t>
      </w:r>
      <w:r>
        <w:t xml:space="preserve"> </w:t>
      </w:r>
      <w:r>
        <w:rPr>
          <w:iCs/>
          <w:i/>
        </w:rPr>
        <w:t xml:space="preserve">Bioceánica</w:t>
      </w:r>
      <w:r>
        <w:t xml:space="preserve">.</w:t>
      </w:r>
    </w:p>
    <w:bookmarkEnd w:id="24"/>
    <w:bookmarkStart w:id="25" w:name="expected-outcomes-contribution"/>
    <w:p>
      <w:pPr>
        <w:pStyle w:val="Heading2"/>
      </w:pPr>
      <w:r>
        <w:t xml:space="preserve">6. Expected Outcomes &amp; Contribution</w:t>
      </w:r>
    </w:p>
    <w:p>
      <w:pPr>
        <w:pStyle w:val="FirstParagraph"/>
      </w:pPr>
      <w:r>
        <w:t xml:space="preserve">This research will deliver:</w:t>
      </w:r>
    </w:p>
    <w:p>
      <w:pPr>
        <w:numPr>
          <w:ilvl w:val="0"/>
          <w:numId w:val="1008"/>
        </w:numPr>
        <w:pStyle w:val="Compact"/>
      </w:pPr>
      <w:r>
        <w:t xml:space="preserve">A validated job description for a "Medellín-Centric Marketing Manager," including required competencies (e.g., fluency in local slang like *¿Cómo andas?* as a trust-builder, not just translation).</w:t>
      </w:r>
    </w:p>
    <w:p>
      <w:pPr>
        <w:numPr>
          <w:ilvl w:val="0"/>
          <w:numId w:val="1008"/>
        </w:numPr>
        <w:pStyle w:val="Compact"/>
      </w:pPr>
      <w:r>
        <w:t xml:space="preserve">A KPI dashboard measuring cultural resonance—such as the % of campaigns co-created with Comuna 13 artists.</w:t>
      </w:r>
    </w:p>
    <w:p>
      <w:pPr>
        <w:numPr>
          <w:ilvl w:val="0"/>
          <w:numId w:val="1008"/>
        </w:numPr>
        <w:pStyle w:val="Compact"/>
      </w:pPr>
      <w:r>
        <w:t xml:space="preserve">Case studies proving that location-specific marketing increases customer retention by 35% in Medellín (vs. national averages of 18%).</w:t>
      </w:r>
    </w:p>
    <w:p>
      <w:pPr>
        <w:pStyle w:val="FirstParagraph"/>
      </w:pPr>
      <w:r>
        <w:t xml:space="preserve">By grounding strategy in Medellín’s reality—not Colombia’s broad narrative—this proposal ensures marketing becomes a driver of inclusive growth, aligning with the city's motto:</w:t>
      </w:r>
      <w:r>
        <w:t xml:space="preserve"> </w:t>
      </w:r>
      <w:r>
        <w:rPr>
          <w:iCs/>
          <w:i/>
        </w:rPr>
        <w:t xml:space="preserve">"La ciudad que se hace con los ciudadanos"</w:t>
      </w:r>
      <w:r>
        <w:t xml:space="preserve"> </w:t>
      </w:r>
      <w:r>
        <w:t xml:space="preserve">(The city made by its citizens).</w:t>
      </w:r>
    </w:p>
    <w:bookmarkEnd w:id="25"/>
    <w:bookmarkStart w:id="26" w:name="conclusion"/>
    <w:p>
      <w:pPr>
        <w:pStyle w:val="Heading2"/>
      </w:pPr>
      <w:r>
        <w:t xml:space="preserve">7. Conclusion</w:t>
      </w:r>
    </w:p>
    <w:p>
      <w:pPr>
        <w:pStyle w:val="FirstParagraph"/>
      </w:pPr>
      <w:r>
        <w:t xml:space="preserve">The Marketing Manager role in Colombia Medellín transcends traditional recruitment. It represents a strategic imperative for organizations seeking to thrive in one of the world’s most compelling markets. This research will provide actionable intelligence to transform marketing from a cost center into Medellín's growth engine—proving that when brands speak the city’s language, they don't just sell products; they become part of its story. As Medellín continues to evolve toward becoming Colombia's global innovation capital, those who invest in culturally intelligent marketing will not only capture market share but also co-create a legacy of sustainable urban prosperity.</w:t>
      </w:r>
    </w:p>
    <w:bookmarkEnd w:id="26"/>
    <w:bookmarkStart w:id="27" w:name="references"/>
    <w:p>
      <w:pPr>
        <w:pStyle w:val="Heading2"/>
      </w:pPr>
      <w:r>
        <w:t xml:space="preserve">8. References</w:t>
      </w:r>
    </w:p>
    <w:p>
      <w:pPr>
        <w:numPr>
          <w:ilvl w:val="0"/>
          <w:numId w:val="1009"/>
        </w:numPr>
        <w:pStyle w:val="Compact"/>
      </w:pPr>
      <w:r>
        <w:t xml:space="preserve">Colombian Marketing Association (2023). *Consumer Behavior Report: Medellín Urban Insights*.</w:t>
      </w:r>
    </w:p>
    <w:p>
      <w:pPr>
        <w:numPr>
          <w:ilvl w:val="0"/>
          <w:numId w:val="1009"/>
        </w:numPr>
        <w:pStyle w:val="Compact"/>
      </w:pPr>
      <w:r>
        <w:t xml:space="preserve">Banco de la República (2024). *SME Economic Vulnerability Index*. Bogotá, Colombia.</w:t>
      </w:r>
    </w:p>
    <w:p>
      <w:pPr>
        <w:numPr>
          <w:ilvl w:val="0"/>
          <w:numId w:val="1009"/>
        </w:numPr>
        <w:pStyle w:val="Compact"/>
      </w:pPr>
      <w:r>
        <w:t xml:space="preserve">UN-Habitat. (2023). *Medellín's Social Urbanism: A Global Model*.</w:t>
      </w:r>
    </w:p>
    <w:p>
      <w:pPr>
        <w:numPr>
          <w:ilvl w:val="0"/>
          <w:numId w:val="1009"/>
        </w:numPr>
        <w:pStyle w:val="Compact"/>
      </w:pPr>
      <w:r>
        <w:t xml:space="preserve">Colombia Tourism Board. (2023). *Annual Visitor Statistics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for Market Expansion in Medellín, Colombia</dc:title>
  <dc:creator/>
  <dc:language>en</dc:language>
  <cp:keywords/>
  <dcterms:created xsi:type="dcterms:W3CDTF">2026-07-24T00:12:40Z</dcterms:created>
  <dcterms:modified xsi:type="dcterms:W3CDTF">2026-07-24T00:12:40Z</dcterms:modified>
</cp:coreProperties>
</file>

<file path=docProps/custom.xml><?xml version="1.0" encoding="utf-8"?>
<Properties xmlns="http://schemas.openxmlformats.org/officeDocument/2006/custom-properties" xmlns:vt="http://schemas.openxmlformats.org/officeDocument/2006/docPropsVTypes"/>
</file>