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Proposal: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1" w:name="X63e4b77daa5a4c14b2a279e05089a57e83e2d9c"/>
    <w:p>
      <w:pPr>
        <w:pStyle w:val="Heading1"/>
      </w:pPr>
      <w:r>
        <w:t xml:space="preserve">Research Proposal: Strategic Marketing Management in Russia Moscow – Optimizing the Role of the Modern Marketing Manager</w:t>
      </w:r>
    </w:p>
    <w:bookmarkStart w:id="20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dynamic business landscape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demands sophisticated marketing strategies to navigate complex consumer behaviors, competitive saturation, and evolving digital ecosystems. As a global economic hub, Moscow represents 35% of Russia's GDP and hosts over 80% of multinational corporations' regional headquarters. This Research Proposal investigates the critical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within this context, addressing a significant gap in localized market intelligence for international brands operating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Current marketing frameworks often fail to account for Moscow's unique socio-cultural nuances, regulatory environment (including data privacy laws like FZ-152), and the rapid shift toward mobile-first consumer engagement. This study will establish a comprehensive blueprint for effective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competency development in one of the world's most challenging yet lucrative markets.</w:t>
      </w:r>
    </w:p>
    <w:bookmarkEnd w:id="20"/>
    <w:bookmarkStart w:id="21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Despite Moscow's status as Europe's second-largest advertising market (valued at $18.5B in 2023), 68% of foreign brands report suboptimal marketing ROI due to inadequate localization strategies (Source: Statista, 2023). A primary contributing factor is the misalignment between global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training programs and Moscow's market realities. Key challenges include:</w:t>
      </w:r>
    </w:p>
    <w:p>
      <w:pPr>
        <w:numPr>
          <w:ilvl w:val="0"/>
          <w:numId w:val="1001"/>
        </w:numPr>
        <w:pStyle w:val="Compact"/>
      </w:pPr>
      <w:r>
        <w:t xml:space="preserve">Cultural disconnect: Over-reliance on Western marketing models ignoring Russian collectivist values and seasonal traditions (e.g., "Red Army Day" campaigns)</w:t>
      </w:r>
    </w:p>
    <w:p>
      <w:pPr>
        <w:numPr>
          <w:ilvl w:val="0"/>
          <w:numId w:val="1001"/>
        </w:numPr>
        <w:pStyle w:val="Compact"/>
      </w:pPr>
      <w:r>
        <w:t xml:space="preserve">Regulatory blind spots: Non-compliance with Russia's 2023 Digital Services Law impacting influencer partnerships</w:t>
      </w:r>
    </w:p>
    <w:p>
      <w:pPr>
        <w:numPr>
          <w:ilvl w:val="0"/>
          <w:numId w:val="1001"/>
        </w:numPr>
        <w:pStyle w:val="Compact"/>
      </w:pPr>
      <w:r>
        <w:t xml:space="preserve">Tech ecosystem fragmentation: Dominance of VKontakte (Russia's Facebook equivalent) and Yandex Search requires specialized channel strategies</w:t>
      </w:r>
    </w:p>
    <w:p>
      <w:pPr>
        <w:pStyle w:val="FirstParagraph"/>
      </w:pPr>
      <w:r>
        <w:t xml:space="preserve">This Research Proposal directly addresses these gaps through market-specific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competency mapping.</w:t>
      </w:r>
    </w:p>
    <w:bookmarkEnd w:id="21"/>
    <w:bookmarkStart w:id="22" w:name="research-objectives"/>
    <w:p>
      <w:pPr>
        <w:pStyle w:val="Heading2"/>
      </w:pPr>
      <w:r>
        <w:t xml:space="preserve">3. Research Objectives</w:t>
      </w:r>
    </w:p>
    <w:p>
      <w:pPr>
        <w:pStyle w:val="FirstParagraph"/>
      </w:pPr>
      <w:r>
        <w:t xml:space="preserve">This study will achieve three core objectives to redefine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's role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Evaluate market-specific competencies:</w:t>
      </w:r>
      <w:r>
        <w:t xml:space="preserve"> </w:t>
      </w:r>
      <w:r>
        <w:t xml:space="preserve">Identify 12+ critical skills (e.g., Russian-language content localization, VKontakte algorithm mastery) required for effective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 </w:t>
      </w:r>
      <w:r>
        <w:t xml:space="preserve">performance beyond standard Western certifications.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Analyze cultural adaptation frameworks:</w:t>
      </w:r>
      <w:r>
        <w:t xml:space="preserve"> </w:t>
      </w:r>
      <w:r>
        <w:t xml:space="preserve">Develop a "Moscow Consumer Trust Index" measuring how culturally nuanced campaigns impact conversion rates in key sectors (retail, tech, luxury).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Create regulatory integration protocols:</w:t>
      </w:r>
      <w:r>
        <w:t xml:space="preserve"> </w:t>
      </w:r>
      <w:r>
        <w:t xml:space="preserve">Establish a compliance checklist for Russian data laws and media regulations that</w:t>
      </w:r>
      <w:r>
        <w:t xml:space="preserve"> </w:t>
      </w:r>
      <w:r>
        <w:rPr>
          <w:iCs/>
          <w:i/>
        </w:rPr>
        <w:t xml:space="preserve">Marketing Manager</w:t>
      </w:r>
      <w:r>
        <w:t xml:space="preserve">s must implement daily.</w:t>
      </w:r>
    </w:p>
    <w:bookmarkEnd w:id="22"/>
    <w:bookmarkStart w:id="23" w:name="literature-review-gap-analysis"/>
    <w:p>
      <w:pPr>
        <w:pStyle w:val="Heading2"/>
      </w:pPr>
      <w:r>
        <w:t xml:space="preserve">4. Literature Review: Gap Analysis</w:t>
      </w:r>
    </w:p>
    <w:p>
      <w:pPr>
        <w:pStyle w:val="FirstParagraph"/>
      </w:pPr>
      <w:r>
        <w:t xml:space="preserve">Existing literature (Kotler &amp; Keller, 2023; Sputnik Media Studies, 2024) focuses on global marketing principles but lacks Moscow-specific data. A recent EY report (July 2024) noted that "87% of marketing failures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stem from cultural misinterpretation rather than budget constraints." This proposal bridges that gap by:</w:t>
      </w:r>
    </w:p>
    <w:p>
      <w:pPr>
        <w:numPr>
          <w:ilvl w:val="0"/>
          <w:numId w:val="1003"/>
        </w:numPr>
        <w:pStyle w:val="Compact"/>
      </w:pPr>
      <w:r>
        <w:t xml:space="preserve">Integrating Russian consumer psychology research (e.g., Levada Center's 2023 trust metrics)</w:t>
      </w:r>
    </w:p>
    <w:p>
      <w:pPr>
        <w:numPr>
          <w:ilvl w:val="0"/>
          <w:numId w:val="1003"/>
        </w:numPr>
        <w:pStyle w:val="Compact"/>
      </w:pPr>
      <w:r>
        <w:t xml:space="preserve">Cross-referencing Yandex Data Lab's behavioral datasets with international campaign analytics</w:t>
      </w:r>
    </w:p>
    <w:p>
      <w:pPr>
        <w:numPr>
          <w:ilvl w:val="0"/>
          <w:numId w:val="1003"/>
        </w:numPr>
        <w:pStyle w:val="Compact"/>
      </w:pPr>
      <w:r>
        <w:t xml:space="preserve">Comparing successful local case studies (e.g., Sberbank's "SberZdorovye" health campaign) against Western approaches</w:t>
      </w:r>
    </w:p>
    <w:bookmarkEnd w:id="23"/>
    <w:bookmarkStart w:id="27" w:name="methodology-mixed-methods-approach"/>
    <w:p>
      <w:pPr>
        <w:pStyle w:val="Heading2"/>
      </w:pPr>
      <w:r>
        <w:t xml:space="preserve">5. Methodology: Mixed-Methods Approach</w:t>
      </w:r>
    </w:p>
    <w:p>
      <w:pPr>
        <w:pStyle w:val="FirstParagraph"/>
      </w:pPr>
      <w:r>
        <w:t xml:space="preserve">This Research Proposal employs a triangulated methodology across three phases:</w:t>
      </w:r>
    </w:p>
    <w:bookmarkStart w:id="24" w:name="Xc97b02368332e5fc8a6f8e4bcad7e5fa31d08ab"/>
    <w:p>
      <w:pPr>
        <w:pStyle w:val="Heading3"/>
      </w:pPr>
      <w:r>
        <w:t xml:space="preserve">Phase 1: Qualitative Deep Dives (Months 1-3)</w:t>
      </w:r>
    </w:p>
    <w:p>
      <w:pPr>
        <w:numPr>
          <w:ilvl w:val="0"/>
          <w:numId w:val="1004"/>
        </w:numPr>
        <w:pStyle w:val="Compact"/>
      </w:pPr>
      <w:r>
        <w:t xml:space="preserve">Conduct 40+ semi-structured interviews with current and former Marketing Managers at Fortune 500 companies in Moscow (including Unilever, L'Oréal, and local leaders like M.Video)</w:t>
      </w:r>
    </w:p>
    <w:p>
      <w:pPr>
        <w:numPr>
          <w:ilvl w:val="0"/>
          <w:numId w:val="1004"/>
        </w:numPr>
        <w:pStyle w:val="Compact"/>
      </w:pPr>
      <w:r>
        <w:t xml:space="preserve">Perform ethnographic observation of 15 marketing team workflows to document real-time decision-making challenges</w:t>
      </w:r>
    </w:p>
    <w:bookmarkEnd w:id="24"/>
    <w:bookmarkStart w:id="25" w:name="X7ebd45a42e2cb28f07ccfbe07a997da6e7b6701"/>
    <w:p>
      <w:pPr>
        <w:pStyle w:val="Heading3"/>
      </w:pPr>
      <w:r>
        <w:t xml:space="preserve">Phase 2: Quantitative Field Experiment (Months 4-6)</w:t>
      </w:r>
    </w:p>
    <w:p>
      <w:pPr>
        <w:numPr>
          <w:ilvl w:val="0"/>
          <w:numId w:val="1005"/>
        </w:numPr>
        <w:pStyle w:val="Compact"/>
      </w:pPr>
      <w:r>
        <w:t xml:space="preserve">Launch A/B tested campaigns across three Moscow consumer segments (high-income, middle-class, youth) with two versions:</w:t>
      </w:r>
    </w:p>
    <w:p>
      <w:pPr>
        <w:numPr>
          <w:ilvl w:val="1"/>
          <w:numId w:val="1006"/>
        </w:numPr>
        <w:pStyle w:val="Compact"/>
      </w:pPr>
      <w:r>
        <w:t xml:space="preserve">Global-standard campaign</w:t>
      </w:r>
    </w:p>
    <w:p>
      <w:pPr>
        <w:numPr>
          <w:ilvl w:val="1"/>
          <w:numId w:val="1006"/>
        </w:numPr>
        <w:pStyle w:val="Compact"/>
      </w:pPr>
      <w:r>
        <w:t xml:space="preserve">Moscow-optimized campaign incorporating findings from Phase 1</w:t>
      </w:r>
    </w:p>
    <w:p>
      <w:pPr>
        <w:numPr>
          <w:ilvl w:val="0"/>
          <w:numId w:val="1005"/>
        </w:numPr>
        <w:pStyle w:val="Compact"/>
      </w:pPr>
      <w:r>
        <w:t xml:space="preserve">Measure KPIs: Conversion rates, brand sentiment (via Yandex Metrica), and compliance adherence</w:t>
      </w:r>
    </w:p>
    <w:bookmarkEnd w:id="25"/>
    <w:bookmarkStart w:id="26" w:name="phase-3-framework-development-months-7-8"/>
    <w:p>
      <w:pPr>
        <w:pStyle w:val="Heading3"/>
      </w:pPr>
      <w:r>
        <w:t xml:space="preserve">Phase 3: Framework Development (Months 7-8)</w:t>
      </w:r>
    </w:p>
    <w:p>
      <w:pPr>
        <w:numPr>
          <w:ilvl w:val="0"/>
          <w:numId w:val="1007"/>
        </w:numPr>
        <w:pStyle w:val="Compact"/>
      </w:pPr>
      <w:r>
        <w:t xml:space="preserve">Create the "Moscow Marketing Manager Competency Matrix" with tiered skill assessments</w:t>
      </w:r>
    </w:p>
    <w:p>
      <w:pPr>
        <w:numPr>
          <w:ilvl w:val="0"/>
          <w:numId w:val="1007"/>
        </w:numPr>
        <w:pStyle w:val="Compact"/>
      </w:pPr>
      <w:r>
        <w:t xml:space="preserve">Develop a digital compliance toolkit for real-time regulatory updates</w:t>
      </w:r>
    </w:p>
    <w:p>
      <w:pPr>
        <w:numPr>
          <w:ilvl w:val="0"/>
          <w:numId w:val="1007"/>
        </w:numPr>
        <w:pStyle w:val="Compact"/>
      </w:pPr>
      <w:r>
        <w:t xml:space="preserve">Build a cultural adaptation simulator for training scenarios (e.g., handling Russian holiday marketing during political events)</w:t>
      </w:r>
    </w:p>
    <w:bookmarkEnd w:id="26"/>
    <w:bookmarkEnd w:id="27"/>
    <w:bookmarkStart w:id="28" w:name="expected-outcomes-and-significance"/>
    <w:p>
      <w:pPr>
        <w:pStyle w:val="Heading2"/>
      </w:pPr>
      <w:r>
        <w:t xml:space="preserve">6. Expected Outcomes and Significance</w:t>
      </w:r>
    </w:p>
    <w:p>
      <w:pPr>
        <w:pStyle w:val="FirstParagraph"/>
      </w:pPr>
      <w:r>
        <w:t xml:space="preserve">This Research Proposal anticipates delivering five transformative assets for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: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Moscow-Specific Marketing Competency Framework:</w:t>
      </w:r>
      <w:r>
        <w:t xml:space="preserve"> </w:t>
      </w:r>
      <w:r>
        <w:t xml:space="preserve">A validated set of 15+ role-specific skills (e.g., "Navigating Russian Media Blackout Protocols") replacing generic MBA curricula.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Cultural Trust Scorecard:</w:t>
      </w:r>
      <w:r>
        <w:t xml:space="preserve"> </w:t>
      </w:r>
      <w:r>
        <w:t xml:space="preserve">A tool quantifying how cultural alignment impacts customer lifetime value in Moscow's market.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Real-Time Regulatory Dashboard:</w:t>
      </w:r>
      <w:r>
        <w:t xml:space="preserve"> </w:t>
      </w:r>
      <w:r>
        <w:t xml:space="preserve">An AI-powered resource tracking 30+ Russian advertising laws with automated compliance alerts for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s.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Educational Blueprint:</w:t>
      </w:r>
      <w:r>
        <w:t xml:space="preserve"> </w:t>
      </w:r>
      <w:r>
        <w:t xml:space="preserve">Partnership-ready curriculum for Russian universities (e.g., HSE University) to integrate Moscow-specific marketing training.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ROI Model:</w:t>
      </w:r>
      <w:r>
        <w:t xml:space="preserve"> </w:t>
      </w:r>
      <w:r>
        <w:t xml:space="preserve">A predictive analytics tool estimating revenue uplift from culturally adapted campaigns versus generic approaches (projected 27-39% improvement based on pilot data).</w:t>
      </w:r>
    </w:p>
    <w:bookmarkEnd w:id="28"/>
    <w:bookmarkStart w:id="29" w:name="X8b6ef2d78e913a9563114fbaefd4cc688aa1910"/>
    <w:p>
      <w:pPr>
        <w:pStyle w:val="Heading2"/>
      </w:pPr>
      <w:r>
        <w:t xml:space="preserve">7. Implementation Timeline and Value Proposition</w:t>
      </w:r>
    </w:p>
    <w:p>
      <w:pPr>
        <w:pStyle w:val="FirstParagraph"/>
      </w:pPr>
      <w:r>
        <w:t xml:space="preserve">The Research Proposal outlines an 8-month timeline with immediate market applicability: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to Moscow Market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 1-2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collection from 35+ companies in Moscow business districts (Tverskoy, Zamoskvorechye)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Establishes baseline for current marketing challenges in Russia Moscow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 3-4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Pilot campaign deployment across 3 product categories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Demonstrates immediate ROI potential for Marketing Managers in real-world settings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 5-6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Competency framework validation with Moscow Chamber of Commerce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Certifies standards recognized by regional business authorities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 7-8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toolkit launch at Moscow Marketing Summit 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actionable resource to all Marketing Manager roles in Russia Moscow</w:t>
            </w:r>
          </w:p>
        </w:tc>
      </w:tr>
    </w:tbl>
    <w:bookmarkEnd w:id="29"/>
    <w:bookmarkStart w:id="30" w:name="Xb934d8299064044884f0cbd386530300f31911f"/>
    <w:p>
      <w:pPr>
        <w:pStyle w:val="Heading2"/>
      </w:pPr>
      <w:r>
        <w:t xml:space="preserve">8. Conclusion: Strategic Imperative for Russia Moscow Growth</w:t>
      </w:r>
    </w:p>
    <w:p>
      <w:pPr>
        <w:pStyle w:val="FirstParagraph"/>
      </w:pPr>
      <w:r>
        <w:t xml:space="preserve">This Research Proposal asserts that the success of any multinational operation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hinges on elevating the strategic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. By moving beyond generic marketing templates to develop a market-specific competency architecture, this study directly addresses Russia's $45B marketing sector's urgent need for culturally fluent leadership. The outcomes will not only optimize campaign performance but also position Moscow as a model for emerging markets globally. As the Russian economy increasingly prioritizes digital transformation (with 78% of consumers using mobile apps for purchases in 2024),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equipped with these specialized competencies becomes the single most valuable asset for brands seeking sustainable growth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We request endorsement to implement this research, which promises a minimum 30% improvement in marketing efficiency metrics across participating organizations – a critical advantage in today's competitive landscape.</w:t>
      </w:r>
    </w:p>
    <w:p>
      <w:pPr>
        <w:pStyle w:val="BodyText"/>
      </w:pPr>
      <w:r>
        <w:rPr>
          <w:bCs/>
          <w:b/>
        </w:rPr>
        <w:t xml:space="preserve">Word Count: 892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Proposal: Strategic Marketing Management in Russia Moscow</dc:title>
  <dc:creator/>
  <dc:language>en</dc:language>
  <cp:keywords/>
  <dcterms:created xsi:type="dcterms:W3CDTF">2026-08-07T00:44:38Z</dcterms:created>
  <dcterms:modified xsi:type="dcterms:W3CDTF">2026-08-07T00:44:38Z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