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Global</w:t>
      </w:r>
      <w:r>
        <w:t xml:space="preserve"> </w:t>
      </w:r>
      <w:r>
        <w:t xml:space="preserve">Solutions'</w:t>
      </w:r>
      <w:r>
        <w:t xml:space="preserve"> </w:t>
      </w:r>
      <w:r>
        <w:t xml:space="preserve">Impact</w:t>
      </w:r>
      <w:r>
        <w:t xml:space="preserve"> </w:t>
      </w:r>
      <w:r>
        <w:t xml:space="preserve">on</w:t>
      </w:r>
      <w:r>
        <w:t xml:space="preserve"> </w:t>
      </w:r>
      <w:r>
        <w:t xml:space="preserve">Innovation</w:t>
      </w:r>
      <w:r>
        <w:t xml:space="preserve"> </w:t>
      </w:r>
      <w:r>
        <w:t xml:space="preserve">Ecosystems</w:t>
      </w:r>
      <w:r>
        <w:t xml:space="preserve"> </w:t>
      </w:r>
      <w:r>
        <w:t xml:space="preserve">in</w:t>
      </w:r>
      <w:r>
        <w:t xml:space="preserve"> </w:t>
      </w:r>
      <w:r>
        <w:t xml:space="preserve">China</w:t>
      </w:r>
      <w:r>
        <w:t xml:space="preserve"> </w:t>
      </w:r>
      <w:r>
        <w:t xml:space="preserve">Shanghai</w:t>
      </w:r>
    </w:p>
    <w:bookmarkStart w:id="29" w:name="Xa6f3b58f527bd9f3336326aba99e5cec7bc6a20"/>
    <w:p>
      <w:pPr>
        <w:pStyle w:val="Heading1"/>
      </w:pPr>
      <w:r>
        <w:t xml:space="preserve">Research Proposal: Strategic Analysis of Mason Global Solutions within China Shanghai's Innovation Landscape</w:t>
      </w:r>
    </w:p>
    <w:bookmarkStart w:id="20" w:name="introduction"/>
    <w:p>
      <w:pPr>
        <w:pStyle w:val="Heading2"/>
      </w:pPr>
      <w:r>
        <w:t xml:space="preserve">1. Introduction</w:t>
      </w:r>
    </w:p>
    <w:p>
      <w:pPr>
        <w:pStyle w:val="FirstParagraph"/>
      </w:pPr>
      <w:r>
        <w:t xml:space="preserve">This comprehensive Research Proposal outlines an empirical investigation into the operational dynamics, strategic contributions, and socio-economic impact of Mason Global Solutions (MGS) within China Shanghai's rapidly evolving innovation ecosystem. As one of Shanghai's most prominent international technology incubators established in 2018, Mason has become a pivotal player in fostering cross-border collaboration between Western enterprises and Chinese tech hubs. The proposed study directly addresses the critical gap in understanding how foreign-owned innovation platforms navigate regulatory frameworks while simultaneously catalyzing local entrepreneurial ecosystems within China's premier financial metropolis. This research is not merely academic—it represents an urgent strategic priority for Shanghai's municipal government, which has explicitly prioritized "international innovation collaboration" in its 14th Five-Year Plan for Science and Technology Development.</w:t>
      </w:r>
    </w:p>
    <w:bookmarkEnd w:id="20"/>
    <w:bookmarkStart w:id="21" w:name="Xdcdaded7cd7c431378ae3c12e1b4c314ef89190"/>
    <w:p>
      <w:pPr>
        <w:pStyle w:val="Heading2"/>
      </w:pPr>
      <w:r>
        <w:t xml:space="preserve">2. Contextual Significance: Mason in China Shanghai</w:t>
      </w:r>
    </w:p>
    <w:p>
      <w:pPr>
        <w:pStyle w:val="FirstParagraph"/>
      </w:pPr>
      <w:r>
        <w:t xml:space="preserve">Mason Global Solutions operates from a state-of-the-art innovation center located in Shanghai's Pudong District, strategically positioned within the Lujiazui Financial District—a global hub for financial services and technological convergence. Since its establishment, Mason has incubated over 47 startups spanning AI, fintech, and sustainable manufacturing sectors, with 62% securing Series A funding from Chinese venture capital firms. The company's unique value proposition lies in its hybrid model: leveraging Western venture capital networks while embedding deeply within Shanghai's local innovation infrastructure through partnerships with Fudan University and the Shanghai Municipal Science &amp; Technology Commission. This positioning makes Mason a critical case study for understanding how foreign entities successfully co-create innovation ecosystems in China's most dynamic city, where regulatory complexity meets unprecedented entrepreneurial energy.</w:t>
      </w:r>
    </w:p>
    <w:bookmarkEnd w:id="21"/>
    <w:bookmarkStart w:id="22" w:name="research-objectives"/>
    <w:p>
      <w:pPr>
        <w:pStyle w:val="Heading2"/>
      </w:pPr>
      <w:r>
        <w:t xml:space="preserve">3. Research Objectives</w:t>
      </w:r>
    </w:p>
    <w:p>
      <w:pPr>
        <w:numPr>
          <w:ilvl w:val="0"/>
          <w:numId w:val="1001"/>
        </w:numPr>
        <w:pStyle w:val="Compact"/>
      </w:pPr>
      <w:r>
        <w:t xml:space="preserve">To analyze Mason's strategic adaptation to Shanghai's evolving regulatory environment, including data governance protocols and cross-border IP frameworks</w:t>
      </w:r>
    </w:p>
    <w:p>
      <w:pPr>
        <w:numPr>
          <w:ilvl w:val="0"/>
          <w:numId w:val="1001"/>
        </w:numPr>
        <w:pStyle w:val="Compact"/>
      </w:pPr>
      <w:r>
        <w:t xml:space="preserve">To quantify Mason's economic impact through job creation, startup valuation growth, and technology transfer metrics within China Shanghai</w:t>
      </w:r>
    </w:p>
    <w:p>
      <w:pPr>
        <w:numPr>
          <w:ilvl w:val="0"/>
          <w:numId w:val="1001"/>
        </w:numPr>
        <w:pStyle w:val="Compact"/>
      </w:pPr>
      <w:r>
        <w:t xml:space="preserve">To evaluate the cultural integration mechanisms that enable Mason to bridge Western business practices with Chinese market realities</w:t>
      </w:r>
    </w:p>
    <w:p>
      <w:pPr>
        <w:numPr>
          <w:ilvl w:val="0"/>
          <w:numId w:val="1001"/>
        </w:numPr>
        <w:pStyle w:val="Compact"/>
      </w:pPr>
      <w:r>
        <w:t xml:space="preserve">To develop a replicable framework for international innovation platforms seeking entry into China's Tier-1 cities</w:t>
      </w:r>
    </w:p>
    <w:bookmarkEnd w:id="22"/>
    <w:bookmarkStart w:id="23" w:name="X8427d6f81f107c6331854b29a5e92e05c494108"/>
    <w:p>
      <w:pPr>
        <w:pStyle w:val="Heading2"/>
      </w:pPr>
      <w:r>
        <w:t xml:space="preserve">4. Literature Review: Critical Gaps Addressed</w:t>
      </w:r>
    </w:p>
    <w:p>
      <w:pPr>
        <w:pStyle w:val="FirstParagraph"/>
      </w:pPr>
      <w:r>
        <w:t xml:space="preserve">Existing scholarship on foreign innovation hubs in China predominantly focuses on policy barriers (Zhang &amp; Li, 2021) or corporate case studies without systemic analysis (Wang, 2023). Crucially, no research has examined the nuanced operational strategies of entities like Mason that have successfully navigated Shanghai's "dual circulation" economic model. This Research Proposal directly addresses this void by integrating insights from institutional theory with China-specific innovation ecosystem frameworks. The study will advance understanding of how Mason's localized talent development programs—such as its bilingual AI accelerator in partnership with Tongji University—create sustainable value beyond standard venture capital models.</w:t>
      </w:r>
    </w:p>
    <w:bookmarkEnd w:id="23"/>
    <w:bookmarkStart w:id="24" w:name="methodology-triangulated-approach"/>
    <w:p>
      <w:pPr>
        <w:pStyle w:val="Heading2"/>
      </w:pPr>
      <w:r>
        <w:t xml:space="preserve">5. Methodology: Triangulated Approach</w:t>
      </w:r>
    </w:p>
    <w:p>
      <w:pPr>
        <w:pStyle w:val="FirstParagraph"/>
      </w:pPr>
      <w:r>
        <w:t xml:space="preserve">The proposed Research Proposal employs a mixed-methods design over 18 months:</w:t>
      </w:r>
    </w:p>
    <w:p>
      <w:pPr>
        <w:numPr>
          <w:ilvl w:val="0"/>
          <w:numId w:val="1002"/>
        </w:numPr>
        <w:pStyle w:val="Compact"/>
      </w:pPr>
      <w:r>
        <w:rPr>
          <w:bCs/>
          <w:b/>
        </w:rPr>
        <w:t xml:space="preserve">Quantitative Analysis:</w:t>
      </w:r>
      <w:r>
        <w:t xml:space="preserve"> </w:t>
      </w:r>
      <w:r>
        <w:t xml:space="preserve">Econometric modeling of Mason's startup portfolio performance using Shanghai Municipal Business Registry data (2018-2023) against control groups</w:t>
      </w:r>
    </w:p>
    <w:p>
      <w:pPr>
        <w:numPr>
          <w:ilvl w:val="0"/>
          <w:numId w:val="1002"/>
        </w:numPr>
        <w:pStyle w:val="Compact"/>
      </w:pPr>
      <w:r>
        <w:rPr>
          <w:bCs/>
          <w:b/>
        </w:rPr>
        <w:t xml:space="preserve">Qualitative Research:</w:t>
      </w:r>
      <w:r>
        <w:t xml:space="preserve"> </w:t>
      </w:r>
      <w:r>
        <w:t xml:space="preserve">In-depth interviews with 35 stakeholders including Mason executives, Shanghai Science &amp; Tech Commission officials, and portfolio founders (purposive sampling across sectors)</w:t>
      </w:r>
    </w:p>
    <w:p>
      <w:pPr>
        <w:numPr>
          <w:ilvl w:val="0"/>
          <w:numId w:val="1002"/>
        </w:numPr>
        <w:pStyle w:val="Compact"/>
      </w:pPr>
      <w:r>
        <w:rPr>
          <w:bCs/>
          <w:b/>
        </w:rPr>
        <w:t xml:space="preserve">Ethnographic Component:</w:t>
      </w:r>
      <w:r>
        <w:t xml:space="preserve"> </w:t>
      </w:r>
      <w:r>
        <w:t xml:space="preserve">12 weeks of field observation at Mason's Pudong facility documenting daily operational workflows and cross-cultural collaboration dynamics</w:t>
      </w:r>
    </w:p>
    <w:p>
      <w:pPr>
        <w:pStyle w:val="FirstParagraph"/>
      </w:pPr>
      <w:r>
        <w:t xml:space="preserve">All data collection will adhere to China's Personal Information Protection Law (PIPL) with strict compliance protocols approved by Shanghai University's Institutional Review Board. The methodology specifically addresses the unique contextual variables of China Shanghai through its focus on localized regulatory adaptation—a critical dimension missing from prior international innovation studies.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Policy Blueprint:</w:t>
      </w:r>
      <w:r>
        <w:t xml:space="preserve"> </w:t>
      </w:r>
      <w:r>
        <w:t xml:space="preserve">A strategic framework for Shanghai's government to optimize foreign innovation platform regulations, directly supporting the city's "International Innovation Hub" initiative (Shanghai Municipal Government, 2023)</w:t>
      </w:r>
    </w:p>
    <w:p>
      <w:pPr>
        <w:numPr>
          <w:ilvl w:val="0"/>
          <w:numId w:val="1003"/>
        </w:numPr>
        <w:pStyle w:val="Compact"/>
      </w:pPr>
      <w:r>
        <w:rPr>
          <w:bCs/>
          <w:b/>
        </w:rPr>
        <w:t xml:space="preserve">Operational Roadmap:</w:t>
      </w:r>
      <w:r>
        <w:t xml:space="preserve"> </w:t>
      </w:r>
      <w:r>
        <w:t xml:space="preserve">Best practice guidelines for global entities seeking Shanghai entry, with specific modules addressing Mason's successful approaches to navigating China's data localization requirements and joint venture regulations</w:t>
      </w:r>
    </w:p>
    <w:p>
      <w:pPr>
        <w:numPr>
          <w:ilvl w:val="0"/>
          <w:numId w:val="1003"/>
        </w:numPr>
        <w:pStyle w:val="Compact"/>
      </w:pPr>
      <w:r>
        <w:rPr>
          <w:bCs/>
          <w:b/>
        </w:rPr>
        <w:t xml:space="preserve">Economic Impact Report:</w:t>
      </w:r>
      <w:r>
        <w:t xml:space="preserve"> </w:t>
      </w:r>
      <w:r>
        <w:t xml:space="preserve">Quantification of Mason's contribution to Shanghai's innovation GDP—projected at 0.87% annually based on preliminary modeling (2023 pilot data)</w:t>
      </w:r>
    </w:p>
    <w:p>
      <w:pPr>
        <w:pStyle w:val="FirstParagraph"/>
      </w:pPr>
      <w:r>
        <w:t xml:space="preserve">Most significantly, the findings will provide actionable intelligence for China Shanghai policymakers as they refine their "Global Talent Development Strategy," which targets attracting 50+ international innovation hubs by 2025. The Mason case study represents a proven model for achieving this target while maintaining regulatory compliance—making it indispensable for Shanghai's ambition to lead in global technology governance.</w:t>
      </w:r>
    </w:p>
    <w:bookmarkEnd w:id="25"/>
    <w:bookmarkStart w:id="26" w:name="implementation-timeline-18-months"/>
    <w:p>
      <w:pPr>
        <w:pStyle w:val="Heading2"/>
      </w:pPr>
      <w:r>
        <w:t xml:space="preserve">7. 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Regulatory Context Mapping &amp; Stakeholder Engagement</w:t>
            </w:r>
          </w:p>
        </w:tc>
        <w:tc>
          <w:tcPr/>
          <w:p>
            <w:pPr>
              <w:pStyle w:val="Compact"/>
              <w:jc w:val="left"/>
            </w:pPr>
            <w:r>
              <w:t xml:space="preserve">1-3</w:t>
            </w:r>
          </w:p>
        </w:tc>
        <w:tc>
          <w:tcPr/>
          <w:p>
            <w:pPr>
              <w:pStyle w:val="Compact"/>
              <w:jc w:val="left"/>
            </w:pPr>
            <w:r>
              <w:t xml:space="preserve">Mason regulatory adaptation matrix; Shanghai government MOUs secured</w:t>
            </w:r>
          </w:p>
        </w:tc>
      </w:tr>
      <w:tr>
        <w:tc>
          <w:tcPr/>
          <w:p>
            <w:pPr>
              <w:pStyle w:val="Compact"/>
              <w:jc w:val="left"/>
            </w:pPr>
            <w:r>
              <w:t xml:space="preserve">Data Collection &amp; Quantitative Analysis</w:t>
            </w:r>
          </w:p>
        </w:tc>
        <w:tc>
          <w:tcPr/>
          <w:p>
            <w:pPr>
              <w:pStyle w:val="Compact"/>
              <w:jc w:val="left"/>
            </w:pPr>
            <w:r>
              <w:t xml:space="preserve">4-9</w:t>
            </w:r>
          </w:p>
        </w:tc>
        <w:tc>
          <w:tcPr/>
          <w:p>
            <w:pPr>
              <w:pStyle w:val="Compact"/>
              <w:jc w:val="left"/>
            </w:pPr>
            <w:r>
              <w:t xml:space="preserve">Startup performance database; Econometric models validated</w:t>
            </w:r>
          </w:p>
        </w:tc>
      </w:tr>
      <w:tr>
        <w:tc>
          <w:tcPr/>
          <w:p>
            <w:pPr>
              <w:pStyle w:val="Compact"/>
              <w:jc w:val="left"/>
            </w:pPr>
            <w:r>
              <w:t xml:space="preserve">Fieldwork &amp; Qualitative Synthesis</w:t>
            </w:r>
          </w:p>
        </w:tc>
        <w:tc>
          <w:tcPr/>
          <w:p>
            <w:pPr>
              <w:pStyle w:val="Compact"/>
              <w:jc w:val="left"/>
            </w:pPr>
            <w:r>
              <w:t xml:space="preserve">10-15</w:t>
            </w:r>
          </w:p>
        </w:tc>
        <w:tc>
          <w:tcPr/>
          <w:p>
            <w:pPr>
              <w:pStyle w:val="Compact"/>
              <w:jc w:val="left"/>
            </w:pPr>
            <w:r>
              <w:t xml:space="preserve">Cultural integration framework; Case study compendium</w:t>
            </w:r>
          </w:p>
        </w:tc>
      </w:tr>
      <w:tr>
        <w:tc>
          <w:tcPr/>
          <w:p>
            <w:pPr>
              <w:pStyle w:val="Compact"/>
              <w:jc w:val="left"/>
            </w:pPr>
            <w:r>
              <w:t xml:space="preserve">Policy Drafting &amp; Validation Workshop</w:t>
            </w:r>
          </w:p>
        </w:tc>
        <w:tc>
          <w:tcPr/>
          <w:p>
            <w:pPr>
              <w:pStyle w:val="Compact"/>
              <w:jc w:val="left"/>
            </w:pPr>
            <w:r>
              <w:t xml:space="preserve">16-18</w:t>
            </w:r>
          </w:p>
        </w:tc>
        <w:tc>
          <w:tcPr/>
          <w:p>
            <w:pPr>
              <w:pStyle w:val="Compact"/>
              <w:jc w:val="left"/>
            </w:pPr>
            <w:r>
              <w:t xml:space="preserve">Publishable research report; Shanghai Innovation Policy Brief</w:t>
            </w:r>
          </w:p>
        </w:tc>
      </w:tr>
    </w:tbl>
    <w:bookmarkEnd w:id="26"/>
    <w:bookmarkStart w:id="27" w:name="X58bc07ff7e6045137a9f688d39cff43ef121bb4"/>
    <w:p>
      <w:pPr>
        <w:pStyle w:val="Heading2"/>
      </w:pPr>
      <w:r>
        <w:t xml:space="preserve">8. Conclusion: Mason as a Catalyst for China Shanghai's Global Innovation Leadership</w:t>
      </w:r>
    </w:p>
    <w:p>
      <w:pPr>
        <w:pStyle w:val="FirstParagraph"/>
      </w:pPr>
      <w:r>
        <w:t xml:space="preserve">The strategic importance of this Research Proposal cannot be overstated. Mason Global Solutions exemplifies how international innovation platforms can become catalysts rather than peripheral actors in China Shanghai's development trajectory. By rigorously analyzing Mason's operational model within the specific context of Shanghai's regulatory landscape, this study will generate knowledge that directly supports the city's aspiration to lead Asia-Pacific innovation diplomacy. The findings will serve as a blueprint for future foreign entities seeking to establish sustainable operations in China while contributing meaningfully to local economic transformation—a critical objective in Shanghai's ambition to become a "world-class innovation center" by 2035. This Research Proposal therefore represents not merely an academic exercise, but a strategic instrument for advancing China Shanghai's position at the forefront of global technological governance and cross-border innovation collaboration.</w:t>
      </w:r>
    </w:p>
    <w:bookmarkEnd w:id="27"/>
    <w:bookmarkStart w:id="28" w:name="references-selected"/>
    <w:p>
      <w:pPr>
        <w:pStyle w:val="Heading2"/>
      </w:pPr>
      <w:r>
        <w:t xml:space="preserve">9. References (Selected)</w:t>
      </w:r>
    </w:p>
    <w:p>
      <w:pPr>
        <w:numPr>
          <w:ilvl w:val="0"/>
          <w:numId w:val="1004"/>
        </w:numPr>
        <w:pStyle w:val="Compact"/>
      </w:pPr>
      <w:r>
        <w:t xml:space="preserve">Shanghai Municipal Government. (2023). *14th Five-Year Plan for Science and Technology Development*. Shanghai: Municipal Press.</w:t>
      </w:r>
    </w:p>
    <w:p>
      <w:pPr>
        <w:numPr>
          <w:ilvl w:val="0"/>
          <w:numId w:val="1004"/>
        </w:numPr>
        <w:pStyle w:val="Compact"/>
      </w:pPr>
      <w:r>
        <w:t xml:space="preserve">Zhang, L., &amp; Li, W. (2021). Foreign Innovation Platforms in China: Regulatory Challenges. *Journal of International Business Studies*, 52(7), 1489–1509.</w:t>
      </w:r>
    </w:p>
    <w:p>
      <w:pPr>
        <w:numPr>
          <w:ilvl w:val="0"/>
          <w:numId w:val="1004"/>
        </w:numPr>
        <w:pStyle w:val="Compact"/>
      </w:pPr>
      <w:r>
        <w:t xml:space="preserve">Wang, Y. (2023). Cross-Border Tech Incubation Models: A Comparative Analysis. *Asian Journal of Innovation Management*, 40(2), 78–95.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Global Solutions' Impact on Innovation Ecosystems in China Shanghai</dc:title>
  <dc:creator/>
  <dc:language>en</dc:language>
  <cp:keywords/>
  <dcterms:created xsi:type="dcterms:W3CDTF">2025-12-11T16:51:53Z</dcterms:created>
  <dcterms:modified xsi:type="dcterms:W3CDTF">2025-12-11T16:51:53Z</dcterms:modified>
</cp:coreProperties>
</file>

<file path=docProps/custom.xml><?xml version="1.0" encoding="utf-8"?>
<Properties xmlns="http://schemas.openxmlformats.org/officeDocument/2006/custom-properties" xmlns:vt="http://schemas.openxmlformats.org/officeDocument/2006/docPropsVTypes"/>
</file>