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Initiative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Egypt</w:t>
      </w:r>
      <w:r>
        <w:t xml:space="preserve"> </w:t>
      </w:r>
      <w:r>
        <w:t xml:space="preserve">Cairo</w:t>
      </w:r>
    </w:p>
    <w:bookmarkStart w:id="27" w:name="X401ae6483efef8cfa39307228c296db0347ea41"/>
    <w:p>
      <w:pPr>
        <w:pStyle w:val="Heading1"/>
      </w:pPr>
      <w:r>
        <w:t xml:space="preserve">Research Proposal: Mason Initiative for Sustainable Urban Development in Egypt Cairo</w:t>
      </w:r>
    </w:p>
    <w:bookmarkStart w:id="20" w:name="i.-introduction"/>
    <w:p>
      <w:pPr>
        <w:pStyle w:val="Heading2"/>
      </w:pPr>
      <w:r>
        <w:t xml:space="preserve">I. Introduction</w:t>
      </w:r>
    </w:p>
    <w:p>
      <w:pPr>
        <w:pStyle w:val="FirstParagraph"/>
      </w:pPr>
      <w:r>
        <w:t xml:space="preserve">This comprehensive research proposal outlines a groundbreaking initiative by the Mason Research Foundation (MRF) to address critical urban challenges in Cairo, Egypt. As one of the most densely populated metropolitan areas globally, Cairo presents unique socio-technical complexities that demand innovative solutions. The Mason Initiative seeks to establish a pioneering research framework dedicated exclusively to sustainable urban development within Egypt's capital city. This proposal details how the Mason Research Foundation will collaborate with Egyptian academic institutions and local stakeholders to generate actionable insights for Cairo's future resilience, positioning itself as a cornerstone of evidence-based urban planning in the Middle East.</w:t>
      </w:r>
    </w:p>
    <w:bookmarkEnd w:id="20"/>
    <w:bookmarkStart w:id="21" w:name="ii.-background-and-rationale"/>
    <w:p>
      <w:pPr>
        <w:pStyle w:val="Heading2"/>
      </w:pPr>
      <w:r>
        <w:t xml:space="preserve">II. Background and Rationale</w:t>
      </w:r>
    </w:p>
    <w:p>
      <w:pPr>
        <w:pStyle w:val="FirstParagraph"/>
      </w:pPr>
      <w:r>
        <w:t xml:space="preserve">Cairo's population exceeds 20 million within its metropolitan area, placing immense strain on infrastructure, water resources, and historical preservation sites. Current urban expansion patterns exacerbate air pollution (Cairo consistently ranks among the world's most polluted cities), traffic congestion (averaging 45 minutes daily per commuter), and housing shortages affecting over 3.5 million residents. The Mason Research Foundation recognizes that conventional approaches to Cairo's challenges are insufficient, necessitating a holistic research paradigm centered on local context rather than imported models.</w:t>
      </w:r>
    </w:p>
    <w:p>
      <w:pPr>
        <w:pStyle w:val="BodyText"/>
      </w:pPr>
      <w:r>
        <w:t xml:space="preserve">Crucially, the Mason Initiative specifically targets Egypt Cairo as its primary research ecosystem because: (1) it represents a microcosm of rapid urbanization in the Global South, (2) possesses unparalleled archaeological and cultural heritage requiring integrated management frameworks, and (3) has recently established supportive policy environments like Egypt's Vision 2030 for sustainable development. Unlike generic urban studies, this proposal anchors its methodology within Cairo's unique socioeconomic fabric—from informal settlements along the Nile to new administrative capital developments—ensuring culturally resonant solutions.</w:t>
      </w:r>
    </w:p>
    <w:bookmarkEnd w:id="21"/>
    <w:bookmarkStart w:id="22" w:name="iii.-research-objectives"/>
    <w:p>
      <w:pPr>
        <w:pStyle w:val="Heading2"/>
      </w:pPr>
      <w:r>
        <w:t xml:space="preserve">III. Research Objectives</w:t>
      </w:r>
    </w:p>
    <w:p>
      <w:pPr>
        <w:pStyle w:val="FirstParagraph"/>
      </w:pPr>
      <w:r>
        <w:t xml:space="preserve">The Mason Initiative establishes four interconnected objectives for Egypt Cairo:</w:t>
      </w:r>
    </w:p>
    <w:p>
      <w:pPr>
        <w:numPr>
          <w:ilvl w:val="0"/>
          <w:numId w:val="1001"/>
        </w:numPr>
        <w:pStyle w:val="Compact"/>
      </w:pPr>
      <w:r>
        <w:rPr>
          <w:bCs/>
          <w:b/>
        </w:rPr>
        <w:t xml:space="preserve">Assess Adaptive Infrastructure Systems:</w:t>
      </w:r>
      <w:r>
        <w:t xml:space="preserve"> </w:t>
      </w:r>
      <w:r>
        <w:t xml:space="preserve">Analyze existing water management, transportation networks, and energy grids through GIS mapping and sensor-based data collection across 12 districts of Cairo.</w:t>
      </w:r>
    </w:p>
    <w:p>
      <w:pPr>
        <w:numPr>
          <w:ilvl w:val="0"/>
          <w:numId w:val="1001"/>
        </w:numPr>
        <w:pStyle w:val="Compact"/>
      </w:pPr>
      <w:r>
        <w:rPr>
          <w:bCs/>
          <w:b/>
        </w:rPr>
        <w:t xml:space="preserve">Develop Heritage-Integrated Urban Models:</w:t>
      </w:r>
      <w:r>
        <w:t xml:space="preserve"> </w:t>
      </w:r>
      <w:r>
        <w:t xml:space="preserve">Create digital preservation frameworks for historical sites (e.g., Islamic Cairo) while accommodating modern development pressures using AI-driven spatial analysis.</w:t>
      </w:r>
    </w:p>
    <w:p>
      <w:pPr>
        <w:numPr>
          <w:ilvl w:val="0"/>
          <w:numId w:val="1001"/>
        </w:numPr>
        <w:pStyle w:val="Compact"/>
      </w:pPr>
      <w:r>
        <w:rPr>
          <w:bCs/>
          <w:b/>
        </w:rPr>
        <w:t xml:space="preserve">Evaluate Socio-Economic Resilience Metrics:</w:t>
      </w:r>
      <w:r>
        <w:t xml:space="preserve"> </w:t>
      </w:r>
      <w:r>
        <w:t xml:space="preserve">Measure how housing quality, public health access, and livelihood opportunities intersect with urban planning in informal communities like Manshiyat Naser.</w:t>
      </w:r>
    </w:p>
    <w:bookmarkEnd w:id="22"/>
    <w:bookmarkStart w:id="23" w:name="iv.-methodology"/>
    <w:p>
      <w:pPr>
        <w:pStyle w:val="Heading2"/>
      </w:pPr>
      <w:r>
        <w:t xml:space="preserve">IV. Methodology</w:t>
      </w:r>
    </w:p>
    <w:p>
      <w:pPr>
        <w:pStyle w:val="FirstParagraph"/>
      </w:pPr>
      <w:r>
        <w:t xml:space="preserve">The Mason Research Foundation employs a mixed-methods approach tailored for Egypt Cairo:</w:t>
      </w:r>
    </w:p>
    <w:p>
      <w:pPr>
        <w:numPr>
          <w:ilvl w:val="0"/>
          <w:numId w:val="1002"/>
        </w:numPr>
        <w:pStyle w:val="Compact"/>
      </w:pPr>
      <w:r>
        <w:rPr>
          <w:bCs/>
          <w:b/>
        </w:rPr>
        <w:t xml:space="preserve">Phase 1 (3 months):</w:t>
      </w:r>
      <w:r>
        <w:t xml:space="preserve"> </w:t>
      </w:r>
      <w:r>
        <w:t xml:space="preserve">Participatory mapping workshops with 50+ local community leaders across Cairo's districts to identify priority issues using co-design methodologies. This ensures grassroots input shapes research parameters—critical in a city where top-down planning has historically failed.</w:t>
      </w:r>
    </w:p>
    <w:p>
      <w:pPr>
        <w:numPr>
          <w:ilvl w:val="0"/>
          <w:numId w:val="1002"/>
        </w:numPr>
        <w:pStyle w:val="Compact"/>
      </w:pPr>
      <w:r>
        <w:rPr>
          <w:bCs/>
          <w:b/>
        </w:rPr>
        <w:t xml:space="preserve">Phase 2 (10 months):</w:t>
      </w:r>
      <w:r>
        <w:t xml:space="preserve"> </w:t>
      </w:r>
      <w:r>
        <w:t xml:space="preserve">Quantitative data collection via drone-based environmental monitoring, IoT sensors for air quality/water usage, and household surveys targeting 3,000 residents. All fieldwork will be conducted by Egyptian researchers trained in Mason's ethical protocols to ensure cultural sensitivity.</w:t>
      </w:r>
    </w:p>
    <w:p>
      <w:pPr>
        <w:numPr>
          <w:ilvl w:val="0"/>
          <w:numId w:val="1002"/>
        </w:numPr>
        <w:pStyle w:val="Compact"/>
      </w:pPr>
      <w:r>
        <w:rPr>
          <w:bCs/>
          <w:b/>
        </w:rPr>
        <w:t xml:space="preserve">Phase 3 (5 months):</w:t>
      </w:r>
      <w:r>
        <w:t xml:space="preserve"> </w:t>
      </w:r>
      <w:r>
        <w:t xml:space="preserve">AI-assisted data synthesis using Cairo-specific datasets (e.g., historical flood records, migration patterns) developed with the National Center for Urban Development. Outputs will include open-access urban planning toolkits in Arabic and English.</w:t>
      </w:r>
    </w:p>
    <w:p>
      <w:pPr>
        <w:pStyle w:val="FirstParagraph"/>
      </w:pPr>
      <w:r>
        <w:t xml:space="preserve">The Mason Initiative explicitly avoids "research tourism" by embedding Egyptian PhD candidates from Cairo University and Ain Shams University within all research teams. This builds local capacity while ensuring contextual expertise—addressing a key critique of foreign-led urban studies in Egypt.</w:t>
      </w:r>
    </w:p>
    <w:bookmarkEnd w:id="23"/>
    <w:bookmarkStart w:id="24" w:name="v.-expected-outcomes-and-significance"/>
    <w:p>
      <w:pPr>
        <w:pStyle w:val="Heading2"/>
      </w:pPr>
      <w:r>
        <w:t xml:space="preserve">V. Expected Outcomes and Significance</w:t>
      </w:r>
    </w:p>
    <w:p>
      <w:pPr>
        <w:pStyle w:val="FirstParagraph"/>
      </w:pPr>
      <w:r>
        <w:t xml:space="preserve">Project deliverables include:</w:t>
      </w:r>
    </w:p>
    <w:p>
      <w:pPr>
        <w:numPr>
          <w:ilvl w:val="0"/>
          <w:numId w:val="1003"/>
        </w:numPr>
        <w:pStyle w:val="Compact"/>
      </w:pPr>
      <w:r>
        <w:t xml:space="preserve">A Cairo Urban Resilience Dashboard (real-time data portal for city planners)</w:t>
      </w:r>
    </w:p>
    <w:p>
      <w:pPr>
        <w:numPr>
          <w:ilvl w:val="0"/>
          <w:numId w:val="1003"/>
        </w:numPr>
        <w:pStyle w:val="Compact"/>
      </w:pPr>
      <w:r>
        <w:t xml:space="preserve">Policy briefs translated into Arabic for Egypt's Ministry of Housing, Utilities &amp; Urban Communities</w:t>
      </w:r>
    </w:p>
    <w:p>
      <w:pPr>
        <w:numPr>
          <w:ilvl w:val="0"/>
          <w:numId w:val="1003"/>
        </w:numPr>
        <w:pStyle w:val="Compact"/>
      </w:pPr>
      <w:r>
        <w:t xml:space="preserve">Certification programs in sustainable urban management for 200+ Egyptian municipal staff</w:t>
      </w:r>
    </w:p>
    <w:p>
      <w:pPr>
        <w:pStyle w:val="FirstParagraph"/>
      </w:pPr>
      <w:r>
        <w:t xml:space="preserve">The significance extends beyond Cairo: Findings will establish a replicable framework for Global South cities facing similar pressures. Crucially, the Mason Initiative will generate Egypt-specific metrics—such as "Heritage Impact Index" for construction projects—that address a documented gap in current urban planning literature (per UN-Habitat's 2023 Cairo report). This positions Egypt Cairo not as a recipient of foreign research but as an innovator shaping global urban discourse.</w:t>
      </w:r>
    </w:p>
    <w:bookmarkEnd w:id="24"/>
    <w:bookmarkStart w:id="25" w:name="vi.-implementation-timeline-and-budget"/>
    <w:p>
      <w:pPr>
        <w:pStyle w:val="Heading2"/>
      </w:pPr>
      <w:r>
        <w:t xml:space="preserve">VI. Implementation Timeline and Budget</w:t>
      </w:r>
    </w:p>
    <w:p>
      <w:pPr>
        <w:pStyle w:val="FirstParagraph"/>
      </w:pPr>
      <w:r>
        <w:t xml:space="preserve">The Mason Initiative spans 18 months with phased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Milestones</w:t>
            </w:r>
          </w:p>
        </w:tc>
        <w:tc>
          <w:tcPr/>
          <w:p>
            <w:pPr>
              <w:pStyle w:val="Compact"/>
              <w:jc w:val="left"/>
            </w:pPr>
            <w:r>
              <w:t xml:space="preserve">Budget Allocation (USD)</w:t>
            </w:r>
          </w:p>
        </w:tc>
      </w:tr>
      <w:tr>
        <w:tc>
          <w:tcPr/>
          <w:p>
            <w:pPr>
              <w:pStyle w:val="Compact"/>
              <w:jc w:val="left"/>
            </w:pPr>
            <w:r>
              <w:t xml:space="preserve">Months 1-3</w:t>
            </w:r>
          </w:p>
        </w:tc>
        <w:tc>
          <w:tcPr/>
          <w:p>
            <w:pPr>
              <w:pStyle w:val="Compact"/>
              <w:jc w:val="left"/>
            </w:pPr>
            <w:r>
              <w:t xml:space="preserve">Stakeholder engagement, team hiring (80% Egyptian staff)</w:t>
            </w:r>
          </w:p>
        </w:tc>
        <w:tc>
          <w:tcPr/>
          <w:p>
            <w:pPr>
              <w:pStyle w:val="Compact"/>
              <w:jc w:val="left"/>
            </w:pPr>
            <w:r>
              <w:t xml:space="preserve">$240,000</w:t>
            </w:r>
          </w:p>
        </w:tc>
      </w:tr>
      <w:tr>
        <w:tc>
          <w:tcPr/>
          <w:p>
            <w:pPr>
              <w:pStyle w:val="Compact"/>
              <w:jc w:val="left"/>
            </w:pPr>
            <w:r>
              <w:t xml:space="preserve">Months 4-12</w:t>
            </w:r>
          </w:p>
        </w:tc>
        <w:tc>
          <w:tcPr/>
          <w:p>
            <w:pPr>
              <w:pStyle w:val="Compact"/>
              <w:jc w:val="left"/>
            </w:pPr>
            <w:r>
              <w:t xml:space="preserve">Data collection across 12 districts; AI model development</w:t>
            </w:r>
          </w:p>
        </w:tc>
        <w:tc>
          <w:tcPr/>
          <w:p>
            <w:pPr>
              <w:pStyle w:val="Compact"/>
              <w:jc w:val="left"/>
            </w:pPr>
            <w:r>
              <w:t xml:space="preserve">$750,000</w:t>
            </w:r>
          </w:p>
        </w:tc>
      </w:tr>
      <w:tr>
        <w:tc>
          <w:tcPr/>
          <w:p>
            <w:pPr>
              <w:pStyle w:val="Compact"/>
              <w:jc w:val="left"/>
            </w:pPr>
            <w:r>
              <w:t xml:space="preserve">Months 13-18</w:t>
            </w:r>
          </w:p>
        </w:tc>
        <w:tc>
          <w:tcPr/>
          <w:p>
            <w:pPr>
              <w:pStyle w:val="Compact"/>
              <w:jc w:val="left"/>
            </w:pPr>
            <w:r>
              <w:t xml:space="preserve">Policy integration, toolkit deployment, impact assessment</w:t>
            </w:r>
          </w:p>
        </w:tc>
        <w:tc>
          <w:tcPr/>
          <w:p>
            <w:pPr>
              <w:pStyle w:val="Compact"/>
              <w:jc w:val="left"/>
            </w:pPr>
            <w:r>
              <w:t xml:space="preserve">$310,000</w:t>
            </w:r>
          </w:p>
        </w:tc>
      </w:tr>
    </w:tbl>
    <w:p>
      <w:pPr>
        <w:pStyle w:val="BodyText"/>
      </w:pPr>
      <w:r>
        <w:t xml:space="preserve">Total requested: $1.3 million (75% allocated to Egypt-based activities). Budget transparency is ensured through Mason's open-funding platform accessible to Egyptian stakeholders.</w:t>
      </w:r>
    </w:p>
    <w:bookmarkEnd w:id="25"/>
    <w:bookmarkStart w:id="26" w:name="vii.-conclusion"/>
    <w:p>
      <w:pPr>
        <w:pStyle w:val="Heading2"/>
      </w:pPr>
      <w:r>
        <w:t xml:space="preserve">VII. Conclusion</w:t>
      </w:r>
    </w:p>
    <w:p>
      <w:pPr>
        <w:pStyle w:val="FirstParagraph"/>
      </w:pPr>
      <w:r>
        <w:t xml:space="preserve">The Mason Initiative represents a paradigm shift in urban research for Egypt Cairo—moving from external observation to co-creation with local communities. By centering Cairo's unique challenges within its methodology, this proposal ensures that findings directly serve Egyptian policymakers and citizens rather than serving academic interests alone. The Mason Research Foundation commits to embedding all outputs within Egypt's development ecosystem: data will be stored on the National Data Center in Cairo, toolkits will undergo municipal validation with Egypt's Urban Development Authority, and research capacity building will focus on long-term institutional sustainability.</w:t>
      </w:r>
    </w:p>
    <w:p>
      <w:pPr>
        <w:pStyle w:val="BodyText"/>
      </w:pPr>
      <w:r>
        <w:t xml:space="preserve">As the first research initiative exclusively dedicated to Cairo-specific urban challenges with Egyptian academic leadership at its core, the Mason Initiative offers a replicable model for global urban innovation. It transcends conventional "research proposals" by embedding itself within Cairo's fabric—from the Nile River banks to its historic streets—ensuring every study contributes directly to building a more livable Egypt Cairo for generations. The time has come to move beyond generic urban templates and embrace context-driven solutions where they matter most: in the heart of Egypt's dynamic capital.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Initiative for Sustainable Urban Development in Egypt Cairo</dc:title>
  <dc:creator/>
  <dc:language>en</dc:language>
  <cp:keywords/>
  <dcterms:created xsi:type="dcterms:W3CDTF">2026-07-18T10:08:09Z</dcterms:created>
  <dcterms:modified xsi:type="dcterms:W3CDTF">2026-07-18T10:08:09Z</dcterms:modified>
</cp:coreProperties>
</file>

<file path=docProps/custom.xml><?xml version="1.0" encoding="utf-8"?>
<Properties xmlns="http://schemas.openxmlformats.org/officeDocument/2006/custom-properties" xmlns:vt="http://schemas.openxmlformats.org/officeDocument/2006/docPropsVTypes"/>
</file>