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Mumbai</w:t>
      </w:r>
    </w:p>
    <w:bookmarkStart w:id="30" w:name="X70b92e475fbb8edea9f0748db62cf38397a5c20"/>
    <w:p>
      <w:pPr>
        <w:pStyle w:val="Heading1"/>
      </w:pPr>
      <w:r>
        <w:t xml:space="preserve">Research Proposal: Mason Initiative for Sustainable Urban Development in Mumbai, India</w:t>
      </w:r>
    </w:p>
    <w:bookmarkStart w:id="20" w:name="introduction"/>
    <w:p>
      <w:pPr>
        <w:pStyle w:val="Heading2"/>
      </w:pPr>
      <w:r>
        <w:t xml:space="preserve">1. Introduction</w:t>
      </w:r>
    </w:p>
    <w:p>
      <w:pPr>
        <w:pStyle w:val="FirstParagraph"/>
      </w:pPr>
      <w:r>
        <w:t xml:space="preserve">This research proposal outlines a comprehensive study on the "Mason" initiative, an emerging community-driven urban development project currently operational in Mumbai, India. The Mason initiative represents a groundbreaking approach to addressing critical challenges of rapid urbanization through localized, sustainable infrastructure solutions. As Mumbai faces unprecedented pressure from population growth (over 20 million residents), climate vulnerability (frequent flooding and heatwaves), and inadequate housing (nearly 40% live in informal settlements), the Mason project offers a scalable model for resilient city planning. This proposal seeks funding to rigorously evaluate Mason's impact, refine its methodology, and propose a framework for replication across India's urban centers.</w:t>
      </w:r>
    </w:p>
    <w:bookmarkEnd w:id="20"/>
    <w:bookmarkStart w:id="21" w:name="problem-statement"/>
    <w:p>
      <w:pPr>
        <w:pStyle w:val="Heading2"/>
      </w:pPr>
      <w:r>
        <w:t xml:space="preserve">2. Problem Statement</w:t>
      </w:r>
    </w:p>
    <w:p>
      <w:pPr>
        <w:pStyle w:val="FirstParagraph"/>
      </w:pPr>
      <w:r>
        <w:t xml:space="preserve">Mumbai exemplifies the global urban crisis: infrastructure is overwhelmed, environmental degradation accelerates, and social inequalities deepen. Traditional top-down approaches to urban development often fail in Mumbai due to fragmented governance, financial constraints, and cultural mismatch. The Mason initiative addresses these gaps by embedding community ownership into its core design—empowering residents as active participants rather than passive beneficiaries in shaping their neighborhoods. Despite promising early results (e.g., 70% reduction in stormwater flooding in pilot zones), the initiative lacks systematic evaluation data to secure wider adoption. Without evidence-based validation, Mumbai's municipal authorities and national policymakers cannot confidently scale Mason’s approach.</w:t>
      </w:r>
    </w:p>
    <w:bookmarkEnd w:id="21"/>
    <w:bookmarkStart w:id="22" w:name="research-objectives"/>
    <w:p>
      <w:pPr>
        <w:pStyle w:val="Heading2"/>
      </w:pPr>
      <w:r>
        <w:t xml:space="preserve">3. Research Objectives</w:t>
      </w:r>
    </w:p>
    <w:p>
      <w:pPr>
        <w:numPr>
          <w:ilvl w:val="0"/>
          <w:numId w:val="1001"/>
        </w:numPr>
        <w:pStyle w:val="Compact"/>
      </w:pPr>
      <w:r>
        <w:t xml:space="preserve">To quantify Mason’s socio-ecological impact across three Mumbai neighborhoods (Dharavi, Sion, and Chembur) through mixed-methods data collection.</w:t>
      </w:r>
    </w:p>
    <w:p>
      <w:pPr>
        <w:numPr>
          <w:ilvl w:val="0"/>
          <w:numId w:val="1001"/>
        </w:numPr>
        <w:pStyle w:val="Compact"/>
      </w:pPr>
      <w:r>
        <w:t xml:space="preserve">To identify contextual factors enabling Mason’s success in Mumbai's unique urban fabric (e.g., colonial-era infrastructure constraints, informal economy dynamics).</w:t>
      </w:r>
    </w:p>
    <w:p>
      <w:pPr>
        <w:numPr>
          <w:ilvl w:val="0"/>
          <w:numId w:val="1001"/>
        </w:numPr>
        <w:pStyle w:val="Compact"/>
      </w:pPr>
      <w:r>
        <w:t xml:space="preserve">To develop a culturally attuned "Mason Framework" for replication in other Indian cities facing similar challenges.</w:t>
      </w:r>
    </w:p>
    <w:p>
      <w:pPr>
        <w:numPr>
          <w:ilvl w:val="0"/>
          <w:numId w:val="1001"/>
        </w:numPr>
        <w:pStyle w:val="Compact"/>
      </w:pPr>
      <w:r>
        <w:t xml:space="preserve">To assess economic viability through cost-benefit analysis of Mason’s low-tech, high-impact interventions.</w:t>
      </w:r>
    </w:p>
    <w:bookmarkEnd w:id="22"/>
    <w:bookmarkStart w:id="23" w:name="literature-review-key-gaps"/>
    <w:p>
      <w:pPr>
        <w:pStyle w:val="Heading2"/>
      </w:pPr>
      <w:r>
        <w:t xml:space="preserve">4. Literature Review (Key Gaps)</w:t>
      </w:r>
    </w:p>
    <w:p>
      <w:pPr>
        <w:pStyle w:val="FirstParagraph"/>
      </w:pPr>
      <w:r>
        <w:t xml:space="preserve">Existing research on urban development in Mumbai focuses primarily on policy prescriptions or large-scale infrastructure projects (e.g., Coastal Road, metro expansion). Studies by the Indian Institute of Technology Mumbai (IIT-B) and UN-Habitat highlight community participation as crucial but lack actionable blueprints. The Mason initiative uniquely bridges this gap: it adapts international best practices (e.g., Bogotá’s participatory budgeting, Singapore’s green infrastructure) to Mumbai’s reality through localized "mason" networks—trained neighborhood artisans who lead construction and maintenance. Crucially, no prior research has examined how such grassroots masonry teams interact with municipal systems in India's complex urban governance landscape.</w:t>
      </w:r>
    </w:p>
    <w:bookmarkEnd w:id="23"/>
    <w:bookmarkStart w:id="24" w:name="methodology"/>
    <w:p>
      <w:pPr>
        <w:pStyle w:val="Heading2"/>
      </w:pPr>
      <w:r>
        <w:t xml:space="preserve">5.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1-6):</w:t>
      </w:r>
      <w:r>
        <w:t xml:space="preserve"> </w:t>
      </w:r>
      <w:r>
        <w:t xml:space="preserve">Quantitative baseline assessment. We will collect data on flood resilience (using IoT sensors), housing quality (GIS mapping of informal settlements), and economic metrics (livelihood impacts) in Mason’s active zones versus control neighborhoods.</w:t>
      </w:r>
    </w:p>
    <w:p>
      <w:pPr>
        <w:numPr>
          <w:ilvl w:val="0"/>
          <w:numId w:val="1002"/>
        </w:numPr>
        <w:pStyle w:val="Compact"/>
      </w:pPr>
      <w:r>
        <w:rPr>
          <w:bCs/>
          <w:b/>
        </w:rPr>
        <w:t xml:space="preserve">Phase 2 (Months 7-12):</w:t>
      </w:r>
      <w:r>
        <w:t xml:space="preserve"> </w:t>
      </w:r>
      <w:r>
        <w:t xml:space="preserve">Qualitative deep dives. Focus groups with 150+ residents, interviews with 30 Mason masons, and workshops with BMC (Brihanmumbai Municipal Corporation) officials to document governance dynamics.</w:t>
      </w:r>
    </w:p>
    <w:p>
      <w:pPr>
        <w:numPr>
          <w:ilvl w:val="0"/>
          <w:numId w:val="1002"/>
        </w:numPr>
        <w:pStyle w:val="Compact"/>
      </w:pPr>
      <w:r>
        <w:rPr>
          <w:bCs/>
          <w:b/>
        </w:rPr>
        <w:t xml:space="preserve">Phase 3 (Months 13-18):</w:t>
      </w:r>
      <w:r>
        <w:t xml:space="preserve"> </w:t>
      </w:r>
      <w:r>
        <w:t xml:space="preserve">Co-creation of the "Mason Framework." Collaborative design sessions with stakeholders to translate findings into a scalable toolkit, including policy recommendations for India's Ministry of Housing and Urban Affairs.</w:t>
      </w:r>
    </w:p>
    <w:p>
      <w:pPr>
        <w:pStyle w:val="FirstParagraph"/>
      </w:pPr>
      <w:r>
        <w:t xml:space="preserve">Data will be analyzed using NVivo (qualitative) and SPSS (quantitative), with all research protocols approved by the Mumbai University Ethics Committee. Crucially, the Mason initiative itself is both the subject and partner in this research—ensuring community co-ownership throughout.</w:t>
      </w:r>
    </w:p>
    <w:bookmarkEnd w:id="24"/>
    <w:bookmarkStart w:id="25" w:name="significance-to-india-mumbai"/>
    <w:p>
      <w:pPr>
        <w:pStyle w:val="Heading2"/>
      </w:pPr>
      <w:r>
        <w:t xml:space="preserve">6. Significance to India &amp; Mumbai</w:t>
      </w:r>
    </w:p>
    <w:p>
      <w:pPr>
        <w:pStyle w:val="FirstParagraph"/>
      </w:pPr>
      <w:r>
        <w:t xml:space="preserve">This research transcends academic interest to deliver tangible public value for Mumbai:</w:t>
      </w:r>
    </w:p>
    <w:p>
      <w:pPr>
        <w:numPr>
          <w:ilvl w:val="0"/>
          <w:numId w:val="1003"/>
        </w:numPr>
        <w:pStyle w:val="Compact"/>
      </w:pPr>
      <w:r>
        <w:rPr>
          <w:bCs/>
          <w:b/>
        </w:rPr>
        <w:t xml:space="preserve">Urban Resilience:</w:t>
      </w:r>
      <w:r>
        <w:t xml:space="preserve"> </w:t>
      </w:r>
      <w:r>
        <w:t xml:space="preserve">Mason’s nature-based solutions (e.g., permeable pavements, rainwater harvesting) directly combat Mumbai’s flood risks—saving an estimated ₹50 crore annually in disaster recovery costs.</w:t>
      </w:r>
    </w:p>
    <w:p>
      <w:pPr>
        <w:numPr>
          <w:ilvl w:val="0"/>
          <w:numId w:val="1003"/>
        </w:numPr>
        <w:pStyle w:val="Compact"/>
      </w:pPr>
      <w:r>
        <w:rPr>
          <w:bCs/>
          <w:b/>
        </w:rPr>
        <w:t xml:space="preserve">Inclusive Growth:</w:t>
      </w:r>
      <w:r>
        <w:t xml:space="preserve"> </w:t>
      </w:r>
      <w:r>
        <w:t xml:space="preserve">The initiative trains 100+ low-income residents as skilled "masons" yearly, generating livelihoods in the informal sector while preserving cultural craftsmanship (e.g., traditional bricklaying).</w:t>
      </w:r>
    </w:p>
    <w:p>
      <w:pPr>
        <w:numPr>
          <w:ilvl w:val="0"/>
          <w:numId w:val="1003"/>
        </w:numPr>
        <w:pStyle w:val="Compact"/>
      </w:pPr>
      <w:r>
        <w:rPr>
          <w:bCs/>
          <w:b/>
        </w:rPr>
        <w:t xml:space="preserve">Policy Innovation:</w:t>
      </w:r>
      <w:r>
        <w:t xml:space="preserve"> </w:t>
      </w:r>
      <w:r>
        <w:t xml:space="preserve">Findings will inform Mumbai’s draft Climate Action Plan (2025) and India’s Smart Cities Mission, potentially influencing 50+ cities under the AMRUT scheme.</w:t>
      </w:r>
    </w:p>
    <w:p>
      <w:pPr>
        <w:numPr>
          <w:ilvl w:val="0"/>
          <w:numId w:val="1003"/>
        </w:numPr>
        <w:pStyle w:val="Compact"/>
      </w:pPr>
      <w:r>
        <w:rPr>
          <w:bCs/>
          <w:b/>
        </w:rPr>
        <w:t xml:space="preserve">Scalability:</w:t>
      </w:r>
      <w:r>
        <w:t xml:space="preserve"> </w:t>
      </w:r>
      <w:r>
        <w:t xml:space="preserve">The Mason Framework will be designed for low-cost adaptation across India—tested in Mumbai’s unique context but applicable to Delhi, Chennai, or Bangalore.</w:t>
      </w:r>
    </w:p>
    <w:bookmarkEnd w:id="25"/>
    <w:bookmarkStart w:id="26" w:name="expected-outcomes"/>
    <w:p>
      <w:pPr>
        <w:pStyle w:val="Heading2"/>
      </w:pPr>
      <w:r>
        <w:t xml:space="preserve">7. Expected Outcomes</w:t>
      </w:r>
    </w:p>
    <w:p>
      <w:pPr>
        <w:pStyle w:val="FirstParagraph"/>
      </w:pPr>
      <w:r>
        <w:t xml:space="preserve">We anticipate four key deliverables by the project’s conclusion:</w:t>
      </w:r>
    </w:p>
    <w:p>
      <w:pPr>
        <w:numPr>
          <w:ilvl w:val="0"/>
          <w:numId w:val="1004"/>
        </w:numPr>
        <w:pStyle w:val="Compact"/>
      </w:pPr>
      <w:r>
        <w:t xml:space="preserve">A peer-reviewed academic paper in the "Journal of Urban Planning and Development" (ISSN: 0733-9488).</w:t>
      </w:r>
    </w:p>
    <w:p>
      <w:pPr>
        <w:numPr>
          <w:ilvl w:val="0"/>
          <w:numId w:val="1004"/>
        </w:numPr>
        <w:pStyle w:val="Compact"/>
      </w:pPr>
      <w:r>
        <w:t xml:space="preserve">The Mason Framework Toolkit—a practical guide with implementation checklists, cost models, and gender-inclusivity protocols.</w:t>
      </w:r>
    </w:p>
    <w:p>
      <w:pPr>
        <w:numPr>
          <w:ilvl w:val="0"/>
          <w:numId w:val="1004"/>
        </w:numPr>
        <w:pStyle w:val="Compact"/>
      </w:pPr>
      <w:r>
        <w:t xml:space="preserve">A policy brief for the Maharashtra State Government advocating for municipal budget allocations to support community masonry networks.</w:t>
      </w:r>
    </w:p>
    <w:p>
      <w:pPr>
        <w:numPr>
          <w:ilvl w:val="0"/>
          <w:numId w:val="1004"/>
        </w:numPr>
        <w:pStyle w:val="Compact"/>
      </w:pPr>
      <w:r>
        <w:t xml:space="preserve">Community Impact Report co-produced with Mason’s residents, showcasing their contributions to Mumbai’s urban future.</w:t>
      </w:r>
    </w:p>
    <w:bookmarkEnd w:id="26"/>
    <w:bookmarkStart w:id="27" w:name="budget-overview-summary"/>
    <w:p>
      <w:pPr>
        <w:pStyle w:val="Heading2"/>
      </w:pPr>
      <w:r>
        <w:t xml:space="preserve">8. Budget Overview (Summary)</w:t>
      </w:r>
    </w:p>
    <w:p>
      <w:pPr>
        <w:pStyle w:val="FirstParagraph"/>
      </w:pPr>
      <w:r>
        <w:t xml:space="preserve">Total Request: ₹1.8 Crore (≈ $210,000 USD) over 18 months:</w:t>
      </w:r>
    </w:p>
    <w:p>
      <w:pPr>
        <w:numPr>
          <w:ilvl w:val="0"/>
          <w:numId w:val="1005"/>
        </w:numPr>
        <w:pStyle w:val="Compact"/>
      </w:pPr>
      <w:r>
        <w:rPr>
          <w:bCs/>
          <w:b/>
        </w:rPr>
        <w:t xml:space="preserve">Field Research (45%):</w:t>
      </w:r>
      <w:r>
        <w:t xml:space="preserve"> </w:t>
      </w:r>
      <w:r>
        <w:t xml:space="preserve">Data collection tools, community incentives, and field team salaries.</w:t>
      </w:r>
    </w:p>
    <w:p>
      <w:pPr>
        <w:numPr>
          <w:ilvl w:val="0"/>
          <w:numId w:val="1005"/>
        </w:numPr>
        <w:pStyle w:val="Compact"/>
      </w:pPr>
      <w:r>
        <w:rPr>
          <w:bCs/>
          <w:b/>
        </w:rPr>
        <w:t xml:space="preserve">Stakeholder Engagement (30%):</w:t>
      </w:r>
      <w:r>
        <w:t xml:space="preserve"> </w:t>
      </w:r>
      <w:r>
        <w:t xml:space="preserve">Workshops with BMC, NGOs (e.g., Slum Dwellers International), and Mason masons.</w:t>
      </w:r>
    </w:p>
    <w:p>
      <w:pPr>
        <w:numPr>
          <w:ilvl w:val="0"/>
          <w:numId w:val="1005"/>
        </w:numPr>
        <w:pStyle w:val="Compact"/>
      </w:pPr>
      <w:r>
        <w:rPr>
          <w:bCs/>
          <w:b/>
        </w:rPr>
        <w:t xml:space="preserve">Analysis &amp; Dissemination (25%):</w:t>
      </w:r>
      <w:r>
        <w:t xml:space="preserve"> </w:t>
      </w:r>
      <w:r>
        <w:t xml:space="preserve">Software licenses, academic publications, and community report production.</w:t>
      </w:r>
    </w:p>
    <w:p>
      <w:pPr>
        <w:pStyle w:val="FirstParagraph"/>
      </w:pPr>
      <w:r>
        <w:t xml:space="preserve">All funds will be managed transparently via the Mumbai Urban Lab’s institutional account, with 90% allocated directly to on-ground activities. Partners include IIT Bombay’s Centre for Environmental Science and Engineering (CESE) and the Maharashtra State Housing Development Corporation (MSHDC).</w:t>
      </w:r>
    </w:p>
    <w:bookmarkEnd w:id="27"/>
    <w:bookmarkStart w:id="28" w:name="conclusion"/>
    <w:p>
      <w:pPr>
        <w:pStyle w:val="Heading2"/>
      </w:pPr>
      <w:r>
        <w:t xml:space="preserve">9. Conclusion</w:t>
      </w:r>
    </w:p>
    <w:p>
      <w:pPr>
        <w:pStyle w:val="FirstParagraph"/>
      </w:pPr>
      <w:r>
        <w:t xml:space="preserve">The Mason initiative embodies a paradigm shift in urban development—one where Mumbai’s resilience is built not just with concrete, but with community agency. This research proposal provides the rigorous evidence needed to transform Mason from a local success into India’s most viable blueprint for sustainable cities. By centering Mumbai’s lived realities and empowering its residents as "masons" of their own environment, this project aligns perfectly with India’s vision of "Sabka Saath, Sabka Vikas." We request the Indian Council of Social Science Research (ICSSR) to support this initiative, ensuring that Mason does not merely survive in Mumbai but thrives as a catalyst for national urban renewal. The time to build is now—because every mason builds more than a wall; they build hope.</w:t>
      </w:r>
    </w:p>
    <w:bookmarkEnd w:id="28"/>
    <w:bookmarkStart w:id="29" w:name="references-selected"/>
    <w:p>
      <w:pPr>
        <w:pStyle w:val="Heading2"/>
      </w:pPr>
      <w:r>
        <w:t xml:space="preserve">10. References (Selected)</w:t>
      </w:r>
    </w:p>
    <w:p>
      <w:pPr>
        <w:numPr>
          <w:ilvl w:val="0"/>
          <w:numId w:val="1006"/>
        </w:numPr>
        <w:pStyle w:val="Compact"/>
      </w:pPr>
      <w:r>
        <w:t xml:space="preserve">Brihanmumbai Municipal Corporation (BMC). (2023). *Mumbai Climate Action Plan*. Mumbai: BMC Press.</w:t>
      </w:r>
    </w:p>
    <w:p>
      <w:pPr>
        <w:numPr>
          <w:ilvl w:val="0"/>
          <w:numId w:val="1006"/>
        </w:numPr>
        <w:pStyle w:val="Compact"/>
      </w:pPr>
      <w:r>
        <w:t xml:space="preserve">UN-Habitat. (2021). *Urban Development in India: Challenges and Pathways*. Nairobi: UN Publications.</w:t>
      </w:r>
    </w:p>
    <w:p>
      <w:pPr>
        <w:numPr>
          <w:ilvl w:val="0"/>
          <w:numId w:val="1006"/>
        </w:numPr>
        <w:pStyle w:val="Compact"/>
      </w:pPr>
      <w:r>
        <w:t xml:space="preserve">Singh, A., &amp; Desai, P. (2022). "Participatory Urbanism in Indian Informal Settlements." *Journal of Asian Architecture*, 15(3), 45–67.</w:t>
      </w:r>
    </w:p>
    <w:p>
      <w:pPr>
        <w:numPr>
          <w:ilvl w:val="0"/>
          <w:numId w:val="1006"/>
        </w:numPr>
        <w:pStyle w:val="Compact"/>
      </w:pPr>
      <w:r>
        <w:t xml:space="preserve">Government of India. (2021). *Smart Cities Mission: Annual Report*. Ministry of Housing and Urban Affairs.</w:t>
      </w:r>
    </w:p>
    <w:p>
      <w:pPr>
        <w:pStyle w:val="FirstParagraph"/>
      </w:pPr>
      <w:r>
        <w:rPr>
          <w:iCs/>
          <w:i/>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Mumbai</dc:title>
  <dc:creator/>
  <dc:language>en</dc:language>
  <cp:keywords/>
  <dcterms:created xsi:type="dcterms:W3CDTF">2026-07-20T04:02:55Z</dcterms:created>
  <dcterms:modified xsi:type="dcterms:W3CDTF">2026-07-20T04:02:55Z</dcterms:modified>
</cp:coreProperties>
</file>

<file path=docProps/custom.xml><?xml version="1.0" encoding="utf-8"?>
<Properties xmlns="http://schemas.openxmlformats.org/officeDocument/2006/custom-properties" xmlns:vt="http://schemas.openxmlformats.org/officeDocument/2006/docPropsVTypes"/>
</file>